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6F068E" w14:textId="77777777" w:rsidR="00546D1F" w:rsidRDefault="00546D1F">
      <w:pPr>
        <w:widowControl w:val="0"/>
        <w:pBdr>
          <w:top w:val="nil"/>
          <w:left w:val="nil"/>
          <w:bottom w:val="nil"/>
          <w:right w:val="nil"/>
          <w:between w:val="nil"/>
        </w:pBdr>
        <w:spacing w:after="0" w:line="276" w:lineRule="auto"/>
        <w:rPr>
          <w:rFonts w:ascii="Arial" w:eastAsia="Arial" w:hAnsi="Arial" w:cs="Arial"/>
          <w:color w:val="000000"/>
        </w:rPr>
      </w:pPr>
    </w:p>
    <w:tbl>
      <w:tblPr>
        <w:tblStyle w:val="a"/>
        <w:tblW w:w="9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6"/>
        <w:gridCol w:w="1619"/>
        <w:gridCol w:w="1616"/>
        <w:gridCol w:w="1640"/>
        <w:gridCol w:w="1615"/>
      </w:tblGrid>
      <w:tr w:rsidR="00546D1F" w14:paraId="61D6FFA4" w14:textId="77777777">
        <w:trPr>
          <w:trHeight w:val="515"/>
        </w:trPr>
        <w:tc>
          <w:tcPr>
            <w:tcW w:w="2966" w:type="dxa"/>
            <w:vAlign w:val="center"/>
          </w:tcPr>
          <w:p w14:paraId="2E5B31D4" w14:textId="77777777" w:rsidR="00546D1F" w:rsidRDefault="00000000">
            <w:pPr>
              <w:rPr>
                <w:rFonts w:ascii="Arial" w:eastAsia="Arial" w:hAnsi="Arial" w:cs="Arial"/>
                <w:b/>
                <w:sz w:val="20"/>
                <w:szCs w:val="20"/>
              </w:rPr>
            </w:pPr>
            <w:proofErr w:type="spellStart"/>
            <w:r>
              <w:rPr>
                <w:rFonts w:ascii="Arial" w:eastAsia="Arial" w:hAnsi="Arial" w:cs="Arial"/>
                <w:b/>
                <w:sz w:val="20"/>
                <w:szCs w:val="20"/>
              </w:rPr>
              <w:t>Dependencia</w:t>
            </w:r>
            <w:proofErr w:type="spellEnd"/>
            <w:r>
              <w:rPr>
                <w:rFonts w:ascii="Arial" w:eastAsia="Arial" w:hAnsi="Arial" w:cs="Arial"/>
                <w:b/>
                <w:sz w:val="20"/>
                <w:szCs w:val="20"/>
              </w:rPr>
              <w:t xml:space="preserve"> </w:t>
            </w:r>
            <w:proofErr w:type="spellStart"/>
            <w:r>
              <w:rPr>
                <w:rFonts w:ascii="Arial" w:eastAsia="Arial" w:hAnsi="Arial" w:cs="Arial"/>
                <w:b/>
                <w:sz w:val="20"/>
                <w:szCs w:val="20"/>
              </w:rPr>
              <w:t>Solicitante</w:t>
            </w:r>
            <w:proofErr w:type="spellEnd"/>
          </w:p>
        </w:tc>
        <w:tc>
          <w:tcPr>
            <w:tcW w:w="6490" w:type="dxa"/>
            <w:gridSpan w:val="4"/>
            <w:vAlign w:val="center"/>
          </w:tcPr>
          <w:p w14:paraId="7B936D5A" w14:textId="77777777" w:rsidR="00546D1F" w:rsidRDefault="00000000">
            <w:pPr>
              <w:rPr>
                <w:rFonts w:ascii="Arial" w:eastAsia="Arial" w:hAnsi="Arial" w:cs="Arial"/>
                <w:sz w:val="20"/>
                <w:szCs w:val="20"/>
              </w:rPr>
            </w:pPr>
            <w:r>
              <w:rPr>
                <w:rFonts w:ascii="Arial" w:eastAsia="Arial" w:hAnsi="Arial" w:cs="Arial"/>
                <w:sz w:val="20"/>
                <w:szCs w:val="20"/>
              </w:rPr>
              <w:t xml:space="preserve">DIRECCIÓN DE GESTIÓN AMBIENTAL </w:t>
            </w:r>
          </w:p>
        </w:tc>
      </w:tr>
      <w:tr w:rsidR="00546D1F" w14:paraId="590A1DD5" w14:textId="77777777">
        <w:trPr>
          <w:trHeight w:val="515"/>
        </w:trPr>
        <w:tc>
          <w:tcPr>
            <w:tcW w:w="2966" w:type="dxa"/>
            <w:vAlign w:val="center"/>
          </w:tcPr>
          <w:p w14:paraId="101A30A4" w14:textId="77777777" w:rsidR="00546D1F" w:rsidRDefault="00000000">
            <w:pPr>
              <w:rPr>
                <w:rFonts w:ascii="Arial" w:eastAsia="Arial" w:hAnsi="Arial" w:cs="Arial"/>
                <w:b/>
                <w:sz w:val="20"/>
                <w:szCs w:val="20"/>
              </w:rPr>
            </w:pPr>
            <w:r>
              <w:rPr>
                <w:rFonts w:ascii="Arial" w:eastAsia="Arial" w:hAnsi="Arial" w:cs="Arial"/>
                <w:b/>
                <w:sz w:val="20"/>
                <w:szCs w:val="20"/>
              </w:rPr>
              <w:t xml:space="preserve">Tipo de </w:t>
            </w:r>
            <w:proofErr w:type="spellStart"/>
            <w:r>
              <w:rPr>
                <w:rFonts w:ascii="Arial" w:eastAsia="Arial" w:hAnsi="Arial" w:cs="Arial"/>
                <w:b/>
                <w:sz w:val="20"/>
                <w:szCs w:val="20"/>
              </w:rPr>
              <w:t>Recurso</w:t>
            </w:r>
            <w:proofErr w:type="spellEnd"/>
          </w:p>
        </w:tc>
        <w:tc>
          <w:tcPr>
            <w:tcW w:w="1619" w:type="dxa"/>
            <w:vAlign w:val="center"/>
          </w:tcPr>
          <w:p w14:paraId="57C8B2EF" w14:textId="77777777" w:rsidR="00546D1F" w:rsidRDefault="00000000">
            <w:pPr>
              <w:rPr>
                <w:rFonts w:ascii="Arial" w:eastAsia="Arial" w:hAnsi="Arial" w:cs="Arial"/>
                <w:sz w:val="20"/>
                <w:szCs w:val="20"/>
              </w:rPr>
            </w:pPr>
            <w:proofErr w:type="spellStart"/>
            <w:r>
              <w:rPr>
                <w:rFonts w:ascii="Arial" w:eastAsia="Arial" w:hAnsi="Arial" w:cs="Arial"/>
                <w:sz w:val="20"/>
                <w:szCs w:val="20"/>
              </w:rPr>
              <w:t>Inversión</w:t>
            </w:r>
            <w:proofErr w:type="spellEnd"/>
          </w:p>
        </w:tc>
        <w:tc>
          <w:tcPr>
            <w:tcW w:w="1616" w:type="dxa"/>
            <w:vAlign w:val="center"/>
          </w:tcPr>
          <w:p w14:paraId="49854CDF" w14:textId="77777777" w:rsidR="00546D1F" w:rsidRDefault="00000000">
            <w:pPr>
              <w:rPr>
                <w:rFonts w:ascii="Arial" w:eastAsia="Arial" w:hAnsi="Arial" w:cs="Arial"/>
                <w:sz w:val="20"/>
                <w:szCs w:val="20"/>
              </w:rPr>
            </w:pPr>
            <w:r>
              <w:rPr>
                <w:rFonts w:ascii="Arial" w:eastAsia="Arial" w:hAnsi="Arial" w:cs="Arial"/>
                <w:sz w:val="20"/>
                <w:szCs w:val="20"/>
              </w:rPr>
              <w:t>X</w:t>
            </w:r>
          </w:p>
        </w:tc>
        <w:tc>
          <w:tcPr>
            <w:tcW w:w="1640" w:type="dxa"/>
            <w:vAlign w:val="center"/>
          </w:tcPr>
          <w:p w14:paraId="19E2DCE2" w14:textId="77777777" w:rsidR="00546D1F" w:rsidRDefault="00000000">
            <w:pPr>
              <w:rPr>
                <w:rFonts w:ascii="Arial" w:eastAsia="Arial" w:hAnsi="Arial" w:cs="Arial"/>
                <w:sz w:val="20"/>
                <w:szCs w:val="20"/>
              </w:rPr>
            </w:pPr>
            <w:proofErr w:type="spellStart"/>
            <w:r>
              <w:rPr>
                <w:rFonts w:ascii="Arial" w:eastAsia="Arial" w:hAnsi="Arial" w:cs="Arial"/>
                <w:sz w:val="20"/>
                <w:szCs w:val="20"/>
              </w:rPr>
              <w:t>Funcionamiento</w:t>
            </w:r>
            <w:proofErr w:type="spellEnd"/>
          </w:p>
        </w:tc>
        <w:tc>
          <w:tcPr>
            <w:tcW w:w="1615" w:type="dxa"/>
            <w:vAlign w:val="center"/>
          </w:tcPr>
          <w:p w14:paraId="2F4083B9" w14:textId="77777777" w:rsidR="00546D1F" w:rsidRDefault="00546D1F">
            <w:pPr>
              <w:rPr>
                <w:rFonts w:ascii="Arial" w:eastAsia="Arial" w:hAnsi="Arial" w:cs="Arial"/>
                <w:sz w:val="20"/>
                <w:szCs w:val="20"/>
              </w:rPr>
            </w:pPr>
          </w:p>
        </w:tc>
      </w:tr>
      <w:tr w:rsidR="00546D1F" w14:paraId="22865CC9" w14:textId="77777777">
        <w:trPr>
          <w:trHeight w:val="515"/>
        </w:trPr>
        <w:tc>
          <w:tcPr>
            <w:tcW w:w="2966" w:type="dxa"/>
            <w:vAlign w:val="center"/>
          </w:tcPr>
          <w:p w14:paraId="7427551C" w14:textId="77777777" w:rsidR="00546D1F" w:rsidRDefault="00000000">
            <w:pPr>
              <w:rPr>
                <w:rFonts w:ascii="Arial" w:eastAsia="Arial" w:hAnsi="Arial" w:cs="Arial"/>
                <w:b/>
                <w:sz w:val="20"/>
                <w:szCs w:val="20"/>
              </w:rPr>
            </w:pPr>
            <w:proofErr w:type="spellStart"/>
            <w:r>
              <w:rPr>
                <w:rFonts w:ascii="Arial" w:eastAsia="Arial" w:hAnsi="Arial" w:cs="Arial"/>
                <w:b/>
                <w:sz w:val="20"/>
                <w:szCs w:val="20"/>
              </w:rPr>
              <w:t>Nombre</w:t>
            </w:r>
            <w:proofErr w:type="spellEnd"/>
            <w:r>
              <w:rPr>
                <w:rFonts w:ascii="Arial" w:eastAsia="Arial" w:hAnsi="Arial" w:cs="Arial"/>
                <w:b/>
                <w:sz w:val="20"/>
                <w:szCs w:val="20"/>
              </w:rPr>
              <w:t xml:space="preserve"> del </w:t>
            </w:r>
            <w:proofErr w:type="spellStart"/>
            <w:r>
              <w:rPr>
                <w:rFonts w:ascii="Arial" w:eastAsia="Arial" w:hAnsi="Arial" w:cs="Arial"/>
                <w:b/>
                <w:sz w:val="20"/>
                <w:szCs w:val="20"/>
              </w:rPr>
              <w:t>proyecto</w:t>
            </w:r>
            <w:proofErr w:type="spellEnd"/>
          </w:p>
        </w:tc>
        <w:tc>
          <w:tcPr>
            <w:tcW w:w="6490" w:type="dxa"/>
            <w:gridSpan w:val="4"/>
          </w:tcPr>
          <w:p w14:paraId="23F9001F" w14:textId="77777777" w:rsidR="00546D1F" w:rsidRPr="00A7633C" w:rsidRDefault="00000000">
            <w:pPr>
              <w:rPr>
                <w:rFonts w:ascii="Arial" w:eastAsia="Arial" w:hAnsi="Arial" w:cs="Arial"/>
                <w:sz w:val="20"/>
                <w:szCs w:val="20"/>
                <w:lang w:val="es-CO"/>
              </w:rPr>
            </w:pPr>
            <w:r w:rsidRPr="00A7633C">
              <w:rPr>
                <w:rFonts w:ascii="Arial" w:eastAsia="Arial" w:hAnsi="Arial" w:cs="Arial"/>
                <w:color w:val="000000"/>
                <w:sz w:val="20"/>
                <w:szCs w:val="20"/>
                <w:highlight w:val="white"/>
                <w:lang w:val="es-CO"/>
              </w:rPr>
              <w:t>INCREMENTO DE LAS ACCIONES QUE CONTRIBUYEN A LA ADAPTACIÓN DE LOS SOCIOECOSISTEMAS DE BOGOTÁ REGIÓN ANTE LOS FENÓMENOS DE VARIABILIDAD Y CAMBIO CLIMÁTICO BOGOTÁ D.C</w:t>
            </w:r>
          </w:p>
        </w:tc>
      </w:tr>
      <w:tr w:rsidR="00546D1F" w14:paraId="2A008A3E" w14:textId="77777777">
        <w:trPr>
          <w:trHeight w:val="515"/>
        </w:trPr>
        <w:tc>
          <w:tcPr>
            <w:tcW w:w="2966" w:type="dxa"/>
            <w:vAlign w:val="center"/>
          </w:tcPr>
          <w:p w14:paraId="17A2555A" w14:textId="77777777" w:rsidR="00546D1F" w:rsidRDefault="00000000">
            <w:pPr>
              <w:rPr>
                <w:rFonts w:ascii="Arial" w:eastAsia="Arial" w:hAnsi="Arial" w:cs="Arial"/>
                <w:b/>
                <w:sz w:val="20"/>
                <w:szCs w:val="20"/>
              </w:rPr>
            </w:pPr>
            <w:r>
              <w:rPr>
                <w:rFonts w:ascii="Arial" w:eastAsia="Arial" w:hAnsi="Arial" w:cs="Arial"/>
                <w:b/>
                <w:sz w:val="20"/>
                <w:szCs w:val="20"/>
              </w:rPr>
              <w:t xml:space="preserve">Código del </w:t>
            </w:r>
            <w:proofErr w:type="spellStart"/>
            <w:r>
              <w:rPr>
                <w:rFonts w:ascii="Arial" w:eastAsia="Arial" w:hAnsi="Arial" w:cs="Arial"/>
                <w:b/>
                <w:sz w:val="20"/>
                <w:szCs w:val="20"/>
              </w:rPr>
              <w:t>proyecto</w:t>
            </w:r>
            <w:proofErr w:type="spellEnd"/>
          </w:p>
        </w:tc>
        <w:tc>
          <w:tcPr>
            <w:tcW w:w="6490" w:type="dxa"/>
            <w:gridSpan w:val="4"/>
          </w:tcPr>
          <w:p w14:paraId="49B1185D" w14:textId="07162F9F" w:rsidR="00546D1F" w:rsidRDefault="003D2913">
            <w:pPr>
              <w:rPr>
                <w:rFonts w:ascii="Arial" w:eastAsia="Arial" w:hAnsi="Arial" w:cs="Arial"/>
                <w:sz w:val="20"/>
                <w:szCs w:val="20"/>
              </w:rPr>
            </w:pPr>
            <w:r>
              <w:rPr>
                <w:rFonts w:ascii="Arial" w:eastAsia="Arial" w:hAnsi="Arial" w:cs="Arial"/>
                <w:sz w:val="20"/>
                <w:szCs w:val="20"/>
              </w:rPr>
              <w:t>8086/</w:t>
            </w:r>
            <w:r w:rsidR="00A7633C" w:rsidRPr="00A7633C">
              <w:rPr>
                <w:rFonts w:ascii="Arial" w:eastAsia="Arial" w:hAnsi="Arial" w:cs="Arial"/>
                <w:sz w:val="20"/>
                <w:szCs w:val="20"/>
              </w:rPr>
              <w:t>O23011732022024007408002 - PM/0126/0108/32020020074</w:t>
            </w:r>
          </w:p>
        </w:tc>
      </w:tr>
      <w:tr w:rsidR="00546D1F" w14:paraId="5F9CCB0B" w14:textId="77777777">
        <w:trPr>
          <w:trHeight w:val="515"/>
        </w:trPr>
        <w:tc>
          <w:tcPr>
            <w:tcW w:w="2966" w:type="dxa"/>
            <w:vAlign w:val="center"/>
          </w:tcPr>
          <w:p w14:paraId="71C439EC" w14:textId="77777777" w:rsidR="00546D1F" w:rsidRDefault="00000000">
            <w:pPr>
              <w:rPr>
                <w:rFonts w:ascii="Arial" w:eastAsia="Arial" w:hAnsi="Arial" w:cs="Arial"/>
                <w:b/>
                <w:sz w:val="20"/>
                <w:szCs w:val="20"/>
              </w:rPr>
            </w:pPr>
            <w:r>
              <w:rPr>
                <w:rFonts w:ascii="Arial" w:eastAsia="Arial" w:hAnsi="Arial" w:cs="Arial"/>
                <w:b/>
                <w:sz w:val="20"/>
                <w:szCs w:val="20"/>
              </w:rPr>
              <w:t>Meta</w:t>
            </w:r>
          </w:p>
        </w:tc>
        <w:tc>
          <w:tcPr>
            <w:tcW w:w="6490" w:type="dxa"/>
            <w:gridSpan w:val="4"/>
          </w:tcPr>
          <w:p w14:paraId="0FEF04EE" w14:textId="04F1DD88" w:rsidR="00546D1F" w:rsidRPr="00A7633C" w:rsidRDefault="00A7633C">
            <w:pPr>
              <w:rPr>
                <w:rFonts w:ascii="Arial" w:eastAsia="Arial" w:hAnsi="Arial" w:cs="Arial"/>
                <w:sz w:val="20"/>
                <w:szCs w:val="20"/>
                <w:lang w:val="es-CO"/>
              </w:rPr>
            </w:pPr>
            <w:r w:rsidRPr="00A7633C">
              <w:rPr>
                <w:rFonts w:ascii="Arial" w:eastAsia="Arial" w:hAnsi="Arial" w:cs="Arial"/>
                <w:sz w:val="20"/>
                <w:szCs w:val="20"/>
                <w:lang w:val="es-CO"/>
              </w:rPr>
              <w:t>256-IMPLEMENTAR UN (1) PROGRAMA PARA REDUCIR LA VULNERABILIDAD A RIESGOS CLIMÁTICOS EN LAS ÁREAS DE IMPORTANCIA AMBIENTAL ESTRATÉGICA Y EN LA ESTRUCTURA ECOLÓGICA PRINCIPAL DEL DISTRITO CAPITAL</w:t>
            </w:r>
          </w:p>
        </w:tc>
      </w:tr>
      <w:tr w:rsidR="00546D1F" w14:paraId="51A402A2" w14:textId="77777777">
        <w:trPr>
          <w:trHeight w:val="515"/>
        </w:trPr>
        <w:tc>
          <w:tcPr>
            <w:tcW w:w="2966" w:type="dxa"/>
            <w:vAlign w:val="center"/>
          </w:tcPr>
          <w:p w14:paraId="1D2641C3" w14:textId="77777777" w:rsidR="00546D1F" w:rsidRDefault="00000000">
            <w:pPr>
              <w:rPr>
                <w:rFonts w:ascii="Arial" w:eastAsia="Arial" w:hAnsi="Arial" w:cs="Arial"/>
                <w:b/>
                <w:sz w:val="20"/>
                <w:szCs w:val="20"/>
              </w:rPr>
            </w:pPr>
            <w:r>
              <w:rPr>
                <w:rFonts w:ascii="Arial" w:eastAsia="Arial" w:hAnsi="Arial" w:cs="Arial"/>
                <w:b/>
                <w:sz w:val="20"/>
                <w:szCs w:val="20"/>
              </w:rPr>
              <w:t>Código PAA</w:t>
            </w:r>
          </w:p>
        </w:tc>
        <w:tc>
          <w:tcPr>
            <w:tcW w:w="6490" w:type="dxa"/>
            <w:gridSpan w:val="4"/>
          </w:tcPr>
          <w:p w14:paraId="5FB5845E" w14:textId="2ED5DD5C" w:rsidR="00546D1F" w:rsidRDefault="00A7633C">
            <w:pPr>
              <w:rPr>
                <w:rFonts w:ascii="Arial" w:eastAsia="Arial" w:hAnsi="Arial" w:cs="Arial"/>
                <w:sz w:val="20"/>
                <w:szCs w:val="20"/>
              </w:rPr>
            </w:pPr>
            <w:r w:rsidRPr="00A7633C">
              <w:rPr>
                <w:rFonts w:ascii="Arial" w:eastAsia="Arial" w:hAnsi="Arial" w:cs="Arial"/>
                <w:sz w:val="20"/>
                <w:szCs w:val="20"/>
              </w:rPr>
              <w:t>"2942025-8086"</w:t>
            </w:r>
          </w:p>
        </w:tc>
      </w:tr>
      <w:tr w:rsidR="00546D1F" w14:paraId="02F17A7A" w14:textId="77777777">
        <w:trPr>
          <w:trHeight w:val="515"/>
        </w:trPr>
        <w:tc>
          <w:tcPr>
            <w:tcW w:w="2966" w:type="dxa"/>
            <w:vAlign w:val="center"/>
          </w:tcPr>
          <w:p w14:paraId="1C05DDB1" w14:textId="77777777" w:rsidR="00546D1F" w:rsidRDefault="00000000">
            <w:pPr>
              <w:rPr>
                <w:rFonts w:ascii="Arial" w:eastAsia="Arial" w:hAnsi="Arial" w:cs="Arial"/>
                <w:b/>
                <w:sz w:val="20"/>
                <w:szCs w:val="20"/>
              </w:rPr>
            </w:pPr>
            <w:proofErr w:type="spellStart"/>
            <w:r>
              <w:rPr>
                <w:rFonts w:ascii="Arial" w:eastAsia="Arial" w:hAnsi="Arial" w:cs="Arial"/>
                <w:b/>
                <w:sz w:val="20"/>
                <w:szCs w:val="20"/>
              </w:rPr>
              <w:t>Fecha</w:t>
            </w:r>
            <w:proofErr w:type="spellEnd"/>
            <w:r>
              <w:rPr>
                <w:rFonts w:ascii="Arial" w:eastAsia="Arial" w:hAnsi="Arial" w:cs="Arial"/>
                <w:b/>
                <w:sz w:val="20"/>
                <w:szCs w:val="20"/>
              </w:rPr>
              <w:t xml:space="preserve"> </w:t>
            </w:r>
          </w:p>
        </w:tc>
        <w:tc>
          <w:tcPr>
            <w:tcW w:w="6490" w:type="dxa"/>
            <w:gridSpan w:val="4"/>
          </w:tcPr>
          <w:p w14:paraId="281684CD" w14:textId="6526E0C7" w:rsidR="00546D1F" w:rsidRDefault="00A7633C">
            <w:pPr>
              <w:rPr>
                <w:rFonts w:ascii="Arial" w:eastAsia="Arial" w:hAnsi="Arial" w:cs="Arial"/>
                <w:sz w:val="20"/>
                <w:szCs w:val="20"/>
              </w:rPr>
            </w:pPr>
            <w:r>
              <w:rPr>
                <w:rFonts w:ascii="Arial" w:eastAsia="Arial" w:hAnsi="Arial" w:cs="Arial"/>
                <w:sz w:val="20"/>
                <w:szCs w:val="20"/>
              </w:rPr>
              <w:t>FEBRERO 2025</w:t>
            </w:r>
          </w:p>
        </w:tc>
      </w:tr>
    </w:tbl>
    <w:p w14:paraId="04F4512C" w14:textId="77777777" w:rsidR="00546D1F" w:rsidRDefault="00546D1F">
      <w:pPr>
        <w:jc w:val="center"/>
        <w:rPr>
          <w:rFonts w:ascii="Arial" w:eastAsia="Arial" w:hAnsi="Arial" w:cs="Arial"/>
        </w:rPr>
      </w:pPr>
    </w:p>
    <w:p w14:paraId="2BDAB6F7" w14:textId="77777777" w:rsidR="00546D1F" w:rsidRDefault="00000000">
      <w:pPr>
        <w:numPr>
          <w:ilvl w:val="0"/>
          <w:numId w:val="1"/>
        </w:num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MARCO LEGAL</w:t>
      </w:r>
    </w:p>
    <w:p w14:paraId="00A9F221" w14:textId="1F8A3160" w:rsidR="00546D1F" w:rsidRDefault="00000000">
      <w:pPr>
        <w:spacing w:after="0" w:line="240" w:lineRule="auto"/>
        <w:jc w:val="both"/>
        <w:rPr>
          <w:rFonts w:ascii="Arial" w:eastAsia="Arial" w:hAnsi="Arial" w:cs="Arial"/>
          <w:sz w:val="20"/>
          <w:szCs w:val="20"/>
        </w:rPr>
      </w:pPr>
      <w:r>
        <w:rPr>
          <w:rFonts w:ascii="Arial" w:eastAsia="Arial" w:hAnsi="Arial" w:cs="Arial"/>
          <w:sz w:val="20"/>
          <w:szCs w:val="20"/>
        </w:rPr>
        <w:t>En cumplimiento a lo dispuesto por el Estatuto General de la Contratación pública, especialmente lo establecido en los numerales 7 y 12 del artículo 25 de la Ley 80 de 1993, modificado por el artículo 87 de la Ley 1474 de 2011, y conforme a lo dispuesto por el literal h) del artículo 4 de la Ley 1150 de 2007 y el articulo 2.2.1.1.2.1.1 y 2.2.1.2.1.4.9 del Decreto Nacional 1082 de 20</w:t>
      </w:r>
      <w:r w:rsidR="00A7633C">
        <w:rPr>
          <w:rFonts w:ascii="Arial" w:eastAsia="Arial" w:hAnsi="Arial" w:cs="Arial"/>
          <w:sz w:val="20"/>
          <w:szCs w:val="20"/>
        </w:rPr>
        <w:t>1</w:t>
      </w:r>
      <w:r>
        <w:rPr>
          <w:rFonts w:ascii="Arial" w:eastAsia="Arial" w:hAnsi="Arial" w:cs="Arial"/>
          <w:sz w:val="20"/>
          <w:szCs w:val="20"/>
        </w:rPr>
        <w:t>5, se presenta el presente estudio previo para adelantar (1) contrato de prestación de servicios.</w:t>
      </w:r>
    </w:p>
    <w:p w14:paraId="12BA8401" w14:textId="77777777" w:rsidR="00546D1F" w:rsidRDefault="00546D1F">
      <w:pPr>
        <w:spacing w:after="0" w:line="240" w:lineRule="auto"/>
        <w:jc w:val="both"/>
        <w:rPr>
          <w:rFonts w:ascii="Arial" w:eastAsia="Arial" w:hAnsi="Arial" w:cs="Arial"/>
          <w:sz w:val="20"/>
          <w:szCs w:val="20"/>
        </w:rPr>
      </w:pPr>
    </w:p>
    <w:p w14:paraId="1866CDB1" w14:textId="77777777" w:rsidR="00546D1F" w:rsidRDefault="00000000">
      <w:pPr>
        <w:numPr>
          <w:ilvl w:val="0"/>
          <w:numId w:val="1"/>
        </w:numPr>
        <w:pBdr>
          <w:top w:val="nil"/>
          <w:left w:val="nil"/>
          <w:bottom w:val="nil"/>
          <w:right w:val="nil"/>
          <w:between w:val="nil"/>
        </w:pBdr>
        <w:jc w:val="center"/>
        <w:rPr>
          <w:rFonts w:ascii="Arial" w:eastAsia="Arial" w:hAnsi="Arial" w:cs="Arial"/>
          <w:color w:val="A6A6A6"/>
          <w:sz w:val="20"/>
          <w:szCs w:val="20"/>
        </w:rPr>
      </w:pPr>
      <w:r>
        <w:rPr>
          <w:rFonts w:ascii="Arial" w:eastAsia="Arial" w:hAnsi="Arial" w:cs="Arial"/>
          <w:b/>
          <w:color w:val="000000"/>
          <w:sz w:val="20"/>
          <w:szCs w:val="20"/>
        </w:rPr>
        <w:t>JUSTIFICACION DE LA NECESIDAD</w:t>
      </w:r>
      <w:r>
        <w:rPr>
          <w:rFonts w:ascii="Arial" w:eastAsia="Arial" w:hAnsi="Arial" w:cs="Arial"/>
          <w:color w:val="FF0000"/>
          <w:sz w:val="20"/>
          <w:szCs w:val="20"/>
        </w:rPr>
        <w:t xml:space="preserve"> </w:t>
      </w:r>
    </w:p>
    <w:p w14:paraId="3AEDCE8A" w14:textId="77777777" w:rsidR="00546D1F" w:rsidRDefault="00000000">
      <w:pPr>
        <w:spacing w:line="240" w:lineRule="auto"/>
        <w:jc w:val="both"/>
        <w:rPr>
          <w:rFonts w:ascii="Arial" w:eastAsia="Arial" w:hAnsi="Arial" w:cs="Arial"/>
          <w:sz w:val="20"/>
          <w:szCs w:val="20"/>
        </w:rPr>
      </w:pPr>
      <w:r>
        <w:rPr>
          <w:rFonts w:ascii="Arial" w:eastAsia="Arial" w:hAnsi="Arial" w:cs="Arial"/>
          <w:sz w:val="20"/>
          <w:szCs w:val="20"/>
        </w:rPr>
        <w:t>El artículo 101 del Acuerdo 257 del 30 de noviembre de 2006, expedido por el Honorable Concejo de Bogotá: “</w:t>
      </w:r>
      <w:r>
        <w:rPr>
          <w:rFonts w:ascii="Arial" w:eastAsia="Arial" w:hAnsi="Arial" w:cs="Arial"/>
          <w:i/>
          <w:sz w:val="20"/>
          <w:szCs w:val="20"/>
        </w:rPr>
        <w:t>Por el cual se dictan normas básicas sobre la estructura, organización y funcionamiento de los organismos y de las entidades de Bogotá, Distrito Capital, y se expiden otras disposiciones</w:t>
      </w:r>
      <w:r>
        <w:rPr>
          <w:rFonts w:ascii="Arial" w:eastAsia="Arial" w:hAnsi="Arial" w:cs="Arial"/>
          <w:sz w:val="20"/>
          <w:szCs w:val="20"/>
        </w:rPr>
        <w:t>”, dispuso transformar el Departamento Técnico del Medio Ambiente en la Secretaría Distrital de Ambiente, como un organismo del Sector Central, con autonomía administrativa y financiera, al cual se le aplican las disposiciones de las Leyes 80 de 1993 y 1150 de 2007 en materia de contratación administrativa y sus Decretos Reglamentarios.</w:t>
      </w:r>
    </w:p>
    <w:p w14:paraId="50194E0D" w14:textId="77777777" w:rsidR="00546D1F" w:rsidRDefault="00000000">
      <w:pPr>
        <w:spacing w:line="240" w:lineRule="auto"/>
        <w:jc w:val="both"/>
        <w:rPr>
          <w:rFonts w:ascii="Arial" w:eastAsia="Arial" w:hAnsi="Arial" w:cs="Arial"/>
          <w:sz w:val="20"/>
          <w:szCs w:val="20"/>
        </w:rPr>
      </w:pPr>
      <w:r>
        <w:rPr>
          <w:rFonts w:ascii="Arial" w:eastAsia="Arial" w:hAnsi="Arial" w:cs="Arial"/>
          <w:sz w:val="20"/>
          <w:szCs w:val="20"/>
        </w:rPr>
        <w:t>El artículo 4° del Decreto Distrital 109 de 2009</w:t>
      </w:r>
      <w:r>
        <w:rPr>
          <w:rFonts w:ascii="Arial" w:eastAsia="Arial" w:hAnsi="Arial" w:cs="Arial"/>
          <w:i/>
          <w:sz w:val="20"/>
          <w:szCs w:val="20"/>
        </w:rPr>
        <w:t xml:space="preserve"> “Por el cual se modifica la estructura de la Secretaría Distrital de Ambiente y se dictan otras disposiciones” </w:t>
      </w:r>
      <w:r>
        <w:rPr>
          <w:rFonts w:ascii="Arial" w:eastAsia="Arial" w:hAnsi="Arial" w:cs="Arial"/>
          <w:sz w:val="20"/>
          <w:szCs w:val="20"/>
        </w:rPr>
        <w:t>estableció que la</w:t>
      </w:r>
      <w:r>
        <w:rPr>
          <w:rFonts w:ascii="Arial" w:eastAsia="Arial" w:hAnsi="Arial" w:cs="Arial"/>
          <w:i/>
          <w:sz w:val="20"/>
          <w:szCs w:val="20"/>
        </w:rPr>
        <w:t xml:space="preserve"> </w:t>
      </w:r>
      <w:r>
        <w:rPr>
          <w:rFonts w:ascii="Arial" w:eastAsia="Arial" w:hAnsi="Arial" w:cs="Arial"/>
          <w:b/>
          <w:sz w:val="20"/>
          <w:szCs w:val="20"/>
        </w:rPr>
        <w:t>SECRETARÍA DISTRITAL DE AMBIENTE</w:t>
      </w:r>
      <w:r>
        <w:rPr>
          <w:rFonts w:ascii="Arial" w:eastAsia="Arial" w:hAnsi="Arial" w:cs="Arial"/>
          <w:i/>
          <w:sz w:val="20"/>
          <w:szCs w:val="20"/>
        </w:rPr>
        <w:t xml:space="preserve"> </w:t>
      </w:r>
      <w:r>
        <w:rPr>
          <w:rFonts w:ascii="Arial" w:eastAsia="Arial" w:hAnsi="Arial" w:cs="Arial"/>
          <w:sz w:val="20"/>
          <w:szCs w:val="20"/>
        </w:rPr>
        <w:t xml:space="preserve">tiene como objeto </w:t>
      </w:r>
      <w:r>
        <w:rPr>
          <w:rFonts w:ascii="Arial" w:eastAsia="Arial" w:hAnsi="Arial" w:cs="Arial"/>
          <w:i/>
          <w:sz w:val="20"/>
          <w:szCs w:val="20"/>
        </w:rPr>
        <w:t xml:space="preserve">“(...) orientar y liderar la formulación de políticas ambientales y de aprovechamiento sostenible de los recursos ambientales y del suelo, tendientes a preservar la diversidad e integridad del ambiente, el manejo y aprovechamiento sostenible de los recursos naturales distritales y la conservación </w:t>
      </w:r>
      <w:r>
        <w:rPr>
          <w:rFonts w:ascii="Arial" w:eastAsia="Arial" w:hAnsi="Arial" w:cs="Arial"/>
          <w:i/>
          <w:sz w:val="20"/>
          <w:szCs w:val="20"/>
        </w:rPr>
        <w:lastRenderedPageBreak/>
        <w:t>del sistema de áreas protegidas, para garantizar una relación adecuada entre la población y el entorno ambiental y crear las condiciones que garanticen los derechos fundamentales y colectivos relacionados con el medio ambiente”.</w:t>
      </w:r>
    </w:p>
    <w:p w14:paraId="75D416A5" w14:textId="77777777" w:rsidR="00546D1F" w:rsidRDefault="00000000">
      <w:pPr>
        <w:spacing w:after="0" w:line="240" w:lineRule="auto"/>
        <w:jc w:val="both"/>
        <w:rPr>
          <w:rFonts w:ascii="Arial" w:eastAsia="Arial" w:hAnsi="Arial" w:cs="Arial"/>
          <w:i/>
          <w:color w:val="000000"/>
          <w:sz w:val="20"/>
          <w:szCs w:val="20"/>
        </w:rPr>
      </w:pPr>
      <w:r>
        <w:rPr>
          <w:rFonts w:ascii="Arial" w:eastAsia="Arial" w:hAnsi="Arial" w:cs="Arial"/>
          <w:color w:val="000000"/>
          <w:sz w:val="20"/>
          <w:szCs w:val="20"/>
        </w:rPr>
        <w:t>A su vez el artículo 7 del Decreto Distrital 109 de 2009, modificado por el Decreto Distrital 450 de 2021, determino la estructura organizacional de la SECRETARÍA DISTRITAL DE AMBIENTE, en su Artículo 21 se le dio el objeto a la DIRECCIÓN DE GESTIÓN AMBIENTAL de: “</w:t>
      </w:r>
      <w:r>
        <w:rPr>
          <w:rFonts w:ascii="Arial" w:eastAsia="Arial" w:hAnsi="Arial" w:cs="Arial"/>
          <w:i/>
          <w:color w:val="000000"/>
          <w:sz w:val="20"/>
          <w:szCs w:val="20"/>
        </w:rPr>
        <w:t>dirigir la ejecución de los planes, programas y proyectos ambientales por medio de procesos técnicos para el cumplimiento de las políticas que en materia ambiental sean aplicables al Distrito</w:t>
      </w:r>
      <w:r>
        <w:rPr>
          <w:rFonts w:ascii="Arial" w:eastAsia="Arial" w:hAnsi="Arial" w:cs="Arial"/>
          <w:color w:val="000000"/>
          <w:sz w:val="20"/>
          <w:szCs w:val="20"/>
        </w:rPr>
        <w:t xml:space="preserve">”, a su vez en los literales b del citado artículo, le indican las siguientes funciones: </w:t>
      </w:r>
      <w:r>
        <w:rPr>
          <w:rFonts w:ascii="Arial" w:eastAsia="Arial" w:hAnsi="Arial" w:cs="Arial"/>
          <w:i/>
          <w:color w:val="000000"/>
          <w:sz w:val="20"/>
          <w:szCs w:val="20"/>
        </w:rPr>
        <w:t>“</w:t>
      </w:r>
      <w:r>
        <w:rPr>
          <w:rFonts w:ascii="Arial" w:eastAsia="Arial" w:hAnsi="Arial" w:cs="Arial"/>
          <w:b/>
          <w:i/>
          <w:color w:val="000000"/>
          <w:sz w:val="20"/>
          <w:szCs w:val="20"/>
        </w:rPr>
        <w:t>b</w:t>
      </w:r>
      <w:r>
        <w:rPr>
          <w:rFonts w:ascii="Arial" w:eastAsia="Arial" w:hAnsi="Arial" w:cs="Arial"/>
          <w:i/>
          <w:color w:val="000000"/>
          <w:sz w:val="20"/>
          <w:szCs w:val="20"/>
        </w:rPr>
        <w:t>. Dirigir la ejecución de políticas, planes, programas, proyectos, acciones e instrumentos orientados a la recuperación, conservación y uso de los recursos naturales y del ambiente en el Distrito Capital.</w:t>
      </w:r>
    </w:p>
    <w:p w14:paraId="3910DCCF" w14:textId="77777777" w:rsidR="00A7633C" w:rsidRDefault="00A7633C">
      <w:pPr>
        <w:spacing w:after="0" w:line="240" w:lineRule="auto"/>
        <w:jc w:val="both"/>
        <w:rPr>
          <w:rFonts w:ascii="Times New Roman" w:eastAsia="Times New Roman" w:hAnsi="Times New Roman" w:cs="Times New Roman"/>
        </w:rPr>
      </w:pPr>
    </w:p>
    <w:p w14:paraId="6475B48C" w14:textId="77777777" w:rsidR="00546D1F" w:rsidRDefault="00000000">
      <w:pP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El Plan Distrital de Desarrollo “Bogotá Camina Segura”, 2024-2027”, aprobado mediante acuerdo 927 de 2024,  tiene por objetivo mejorar la calidad de vida de las personas garantizándoles una mayor seguridad, inclusión, libertad, igualdad de oportunidades y un acceso más justo a bienes y servicios públicos, fortaleciendo el tejido social en un marco de construcción de confianza y aprovechando el potencial de la sociedad y su territorio a partir de un modelo de desarrollo comprometido con la acción climática y la integración regional. </w:t>
      </w:r>
    </w:p>
    <w:p w14:paraId="523EC13A" w14:textId="77777777" w:rsidR="00A7633C" w:rsidRDefault="00A7633C">
      <w:pPr>
        <w:spacing w:after="0" w:line="240" w:lineRule="auto"/>
        <w:jc w:val="both"/>
        <w:rPr>
          <w:rFonts w:ascii="Times New Roman" w:eastAsia="Times New Roman" w:hAnsi="Times New Roman" w:cs="Times New Roman"/>
        </w:rPr>
      </w:pPr>
    </w:p>
    <w:p w14:paraId="129C3B66" w14:textId="77777777" w:rsidR="00546D1F" w:rsidRDefault="00000000">
      <w:pPr>
        <w:spacing w:line="240" w:lineRule="auto"/>
        <w:jc w:val="both"/>
        <w:rPr>
          <w:rFonts w:ascii="Times New Roman" w:eastAsia="Times New Roman" w:hAnsi="Times New Roman" w:cs="Times New Roman"/>
        </w:rPr>
      </w:pPr>
      <w:r>
        <w:rPr>
          <w:rFonts w:ascii="Arial" w:eastAsia="Arial" w:hAnsi="Arial" w:cs="Arial"/>
          <w:color w:val="000000"/>
          <w:sz w:val="20"/>
          <w:szCs w:val="20"/>
        </w:rPr>
        <w:t xml:space="preserve">Que, conforme a las funciones de la Dirección de Gestión Ambiental, esta tiene a su cargo el proyecto de inversión </w:t>
      </w:r>
      <w:r>
        <w:rPr>
          <w:rFonts w:ascii="Arial" w:eastAsia="Arial" w:hAnsi="Arial" w:cs="Arial"/>
          <w:i/>
          <w:color w:val="000000"/>
          <w:sz w:val="20"/>
          <w:szCs w:val="20"/>
        </w:rPr>
        <w:t xml:space="preserve">“8086 Incremento de las acciones que contribuyen a la adaptación de los </w:t>
      </w:r>
      <w:proofErr w:type="spellStart"/>
      <w:r>
        <w:rPr>
          <w:rFonts w:ascii="Arial" w:eastAsia="Arial" w:hAnsi="Arial" w:cs="Arial"/>
          <w:i/>
          <w:color w:val="000000"/>
          <w:sz w:val="20"/>
          <w:szCs w:val="20"/>
        </w:rPr>
        <w:t>socioecosistemas</w:t>
      </w:r>
      <w:proofErr w:type="spellEnd"/>
      <w:r>
        <w:rPr>
          <w:rFonts w:ascii="Arial" w:eastAsia="Arial" w:hAnsi="Arial" w:cs="Arial"/>
          <w:i/>
          <w:color w:val="000000"/>
          <w:sz w:val="20"/>
          <w:szCs w:val="20"/>
        </w:rPr>
        <w:t xml:space="preserve"> de Bogotá Región ante los fenómenos de variabilidad y cambio climático Bogotá D.C..”</w:t>
      </w:r>
      <w:r>
        <w:rPr>
          <w:rFonts w:ascii="Arial" w:eastAsia="Arial" w:hAnsi="Arial" w:cs="Arial"/>
          <w:color w:val="000000"/>
          <w:sz w:val="20"/>
          <w:szCs w:val="20"/>
        </w:rPr>
        <w:t xml:space="preserve"> cuyo objetivo general es el incremento de las acciones que contribuyan a la adaptación de los </w:t>
      </w:r>
      <w:proofErr w:type="spellStart"/>
      <w:r>
        <w:rPr>
          <w:rFonts w:ascii="Arial" w:eastAsia="Arial" w:hAnsi="Arial" w:cs="Arial"/>
          <w:color w:val="000000"/>
          <w:sz w:val="20"/>
          <w:szCs w:val="20"/>
        </w:rPr>
        <w:t>socioecosistemas</w:t>
      </w:r>
      <w:proofErr w:type="spellEnd"/>
      <w:r>
        <w:rPr>
          <w:rFonts w:ascii="Arial" w:eastAsia="Arial" w:hAnsi="Arial" w:cs="Arial"/>
          <w:color w:val="000000"/>
          <w:sz w:val="20"/>
          <w:szCs w:val="20"/>
        </w:rPr>
        <w:t xml:space="preserve"> de la Bogotá Región ante los fenómenos de variabilidad y cambio climático, el cual tiene como objetivo específico, generar herramientas que consoliden los instrumentos que aporten a la reducción de la vulnerabilidad ante riesgos climáticos en las áreas de importancia ambiental estratégica y en la EEP del Distrito Capital, que aporta al producto 3202002 Documentos de planeación para la conservación de la biodiversidad y sus servicios ecosistémicos previsto en la herramienta MGA, dentro de los cuales se encuentra la actividad  de implementar un  programa para reducir la vulnerabilidad a riesgos climáticos. Lo anterior se perfila con el ODS 13 Adoptar medidas urgentes para combatir el cambio climático y sus efectos, que tiene como finalidad acelerar la acción para frenar la crisis climática promoviendo medidas de mitigación y adaptación y, específicamente tiene que ver con las metas: “Fortalecer la capacidad de adaptación al cambio climático” y “Aumentar la capacidad de planificación y gestión en los países menos desarrollados, prestando especial atención a los problemas que genera para las mujeres, los jóvenes y las comunidades marginadas”, con el fin de aumentar la resiliencia de Bogotá D.C y la región ante los impactos del cambio climático, a través de medidas basadas en soluciones de naturaleza y en el marco del ordenamiento Distrital y la aplicación de las determinantes ambientales Distritales y Regionales de manera participativa.</w:t>
      </w:r>
    </w:p>
    <w:p w14:paraId="0E9F780C" w14:textId="77777777" w:rsidR="00546D1F" w:rsidRDefault="00000000">
      <w:pPr>
        <w:spacing w:line="240" w:lineRule="auto"/>
        <w:jc w:val="both"/>
        <w:rPr>
          <w:rFonts w:ascii="Times New Roman" w:eastAsia="Times New Roman" w:hAnsi="Times New Roman" w:cs="Times New Roman"/>
        </w:rPr>
      </w:pPr>
      <w:r>
        <w:rPr>
          <w:rFonts w:ascii="Arial" w:eastAsia="Arial" w:hAnsi="Arial" w:cs="Arial"/>
          <w:color w:val="000000"/>
          <w:sz w:val="20"/>
          <w:szCs w:val="20"/>
        </w:rPr>
        <w:t xml:space="preserve">Que conforme a la meta </w:t>
      </w:r>
      <w:r>
        <w:rPr>
          <w:rFonts w:ascii="Arial" w:eastAsia="Arial" w:hAnsi="Arial" w:cs="Arial"/>
          <w:b/>
          <w:color w:val="000000"/>
          <w:sz w:val="20"/>
          <w:szCs w:val="20"/>
        </w:rPr>
        <w:t>Implementar un (1) programa para reducir la vulnerabilidad a riesgos climáticos en las áreas de importancia ambiental estratégica y en la estructura ecológica principal del Distrito</w:t>
      </w:r>
      <w:r>
        <w:rPr>
          <w:rFonts w:ascii="Arial" w:eastAsia="Arial" w:hAnsi="Arial" w:cs="Arial"/>
          <w:color w:val="000000"/>
          <w:sz w:val="20"/>
          <w:szCs w:val="20"/>
        </w:rPr>
        <w:t xml:space="preserve"> planteada en el proyecto de inversión 8086, lo anterior, se realizó teniendo en cuenta la vulnerabilidad de los ecosistemas y la población de Bogotá D.C. frente al cambio climático, el cual se debe a aspectos naturales, así como a actividades humanas (las que últimamente más aceleran el proceso); Bogotá es la segunda ciudad del país con mayor vulnerabilidad al cambio climático (TCNCC, 2017) y de </w:t>
      </w:r>
      <w:r>
        <w:rPr>
          <w:rFonts w:ascii="Arial" w:eastAsia="Arial" w:hAnsi="Arial" w:cs="Arial"/>
          <w:color w:val="000000"/>
          <w:sz w:val="20"/>
          <w:szCs w:val="20"/>
        </w:rPr>
        <w:lastRenderedPageBreak/>
        <w:t>acuerdo con la Política Pública de Acción Climática Bogotá 2050, la ciudad se configura como un territorio vulnerable al cambio climático al presentar una muy alta sensibilidad y baja capacidad adaptativa, la cual está dada principalmente por una débil facultad para garantizar la seguridad alimentaria y la oferta hídrica (IDEAM et al. 2017), por tal razón es urgente realizar acciones que mitiguen los gases efecto invernadero y aumenten la capacidad para afrontar los efectos de tal cambio. Desde 2020, la ciudad ha avanzado en la implementación de acciones para atender la emergencia climática declarada en 2019 mediante el Acuerdo 790 del concejo de Bogotá, en el 2021 se presentó a la ciudad el Plan de Acción Climática de Bogotá 2020-2050, que dio paso a la Política Pública de Acción Climática 2023-2050 aprobada en Consejo Distrital de Política Económica y Social del Distrito Capital en septiembre de 2023 (documento CONPES 31 de 2023).</w:t>
      </w:r>
    </w:p>
    <w:p w14:paraId="16CD1C7C" w14:textId="77777777" w:rsidR="00546D1F" w:rsidRDefault="00000000">
      <w:pP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La implementación de esta meta se realizará por medio de la actividad de inversión implementar un programa para reducir la vulnerabilidad a riesgos climáticos donde se busca fortalecer el desarrollo de acciones para la adaptación de Bogotá al cambio climático en la actual administración, y aportar al alcance de muy largo plazo de dichas políticas, implementando acciones a corto plazo y de alto impacto, las cuales estarán plasmadas en la formulación de un programa a corto plazo (cuatro años). Estas acciones están alineadas con los instrumentos de política pública ya mencionados en el marco de la acción climática. </w:t>
      </w:r>
    </w:p>
    <w:p w14:paraId="55CA7665" w14:textId="77777777" w:rsidR="00546D1F" w:rsidRDefault="00546D1F">
      <w:pPr>
        <w:spacing w:after="0" w:line="240" w:lineRule="auto"/>
        <w:jc w:val="both"/>
        <w:rPr>
          <w:rFonts w:ascii="Arial" w:eastAsia="Arial" w:hAnsi="Arial" w:cs="Arial"/>
          <w:sz w:val="20"/>
          <w:szCs w:val="20"/>
        </w:rPr>
      </w:pPr>
    </w:p>
    <w:p w14:paraId="532CE71E" w14:textId="77777777" w:rsidR="00546D1F" w:rsidRDefault="00000000">
      <w:pPr>
        <w:spacing w:before="240" w:after="240" w:line="240" w:lineRule="auto"/>
        <w:jc w:val="both"/>
        <w:rPr>
          <w:rFonts w:ascii="Arial" w:eastAsia="Arial" w:hAnsi="Arial" w:cs="Arial"/>
          <w:sz w:val="20"/>
          <w:szCs w:val="20"/>
        </w:rPr>
      </w:pPr>
      <w:r>
        <w:rPr>
          <w:rFonts w:ascii="Arial" w:eastAsia="Arial" w:hAnsi="Arial" w:cs="Arial"/>
          <w:sz w:val="20"/>
          <w:szCs w:val="20"/>
        </w:rPr>
        <w:t>De igual manera el artículo 111 de la Ley 99 de 1993 prescribe: “Declárense de interés público las áreas de importancia estratégica para la conservación de recursos hídricos que surten de agua los acueductos municipales, distritales y regionales. Los departamentos y municipios dedicarán un porcentaje no inferior al 1% de sus ingresos corrientes para la adquisición y mantenimiento de dichas zonas o para financiar esquemas de pago por servicios ambientales. Los recursos de que trata el presente artículo se destinarán prioritariamente a la adquisición y mantenimiento de las zonas. Las autoridades ambientales definirán las áreas prioritarias a ser adquiridas con estos recursos o dónde se deben implementar los esquemas por pagos de servicios ambientales de acuerdo con la reglamentación que el Ministerio de Ambiente, Vivienda y Desarrollo Territorial expida para el efecto. Su administración corresponderá al respectivo distrito o municipio. Los municipios, distritos y departamentos garantizarán la inclusión de los recursos dentro de sus planes de desarrollo y presupuestos anuales respectivos, individualizándose la partida destinada para tal fin. Los proyectos de construcción y operación de distritos de riego deberán dedicar un porcentaje no inferior al 1% del valor de la obra a la adquisición de áreas estratégicas para la conservación de los recursos hídricos que los surten de agua. (...)”.</w:t>
      </w:r>
    </w:p>
    <w:p w14:paraId="7CAB4F59" w14:textId="77777777" w:rsidR="00546D1F" w:rsidRDefault="00000000">
      <w:pPr>
        <w:spacing w:before="240" w:after="240" w:line="240" w:lineRule="auto"/>
        <w:jc w:val="both"/>
        <w:rPr>
          <w:rFonts w:ascii="Arial" w:eastAsia="Arial" w:hAnsi="Arial" w:cs="Arial"/>
          <w:sz w:val="20"/>
          <w:szCs w:val="20"/>
        </w:rPr>
      </w:pPr>
      <w:r>
        <w:rPr>
          <w:rFonts w:ascii="Arial" w:eastAsia="Arial" w:hAnsi="Arial" w:cs="Arial"/>
          <w:sz w:val="20"/>
          <w:szCs w:val="20"/>
        </w:rPr>
        <w:t>Mediante Decreto 0953 de 2013, se reglamentó el artículo 111 de la Ley 99 de 1993 modificado por el artículo 210 de la Ley 1450 de 2011, norma que posteriormente fue compilada por el Título 9 Instrumentos Financieros y Económicos y Tributarios, Capitulo 8, Adquisición y Mantenimiento de Predios y la financiación de esquemas de pago por servicios ambientales en áreas estratégicas que surten de agua a los acueductos del Decreto 1076 de 2015 “Por medio del cual se expide el Decreto Único Reglamentario del Sector Ambiente y Desarrollo Sostenible”; precisa que cuando se hace mención a las áreas de importancia estratégica, debe entenderse que se refiere a áreas de importancia para la conservación de recursos hídricos que surten de agua a los acueductos municipales, distritales y regionales.</w:t>
      </w:r>
    </w:p>
    <w:p w14:paraId="53100749" w14:textId="77777777" w:rsidR="00546D1F" w:rsidRDefault="00000000">
      <w:pPr>
        <w:spacing w:before="240" w:after="240" w:line="240" w:lineRule="auto"/>
        <w:jc w:val="both"/>
        <w:rPr>
          <w:rFonts w:ascii="Arial" w:eastAsia="Arial" w:hAnsi="Arial" w:cs="Arial"/>
          <w:sz w:val="20"/>
          <w:szCs w:val="20"/>
        </w:rPr>
      </w:pPr>
      <w:r>
        <w:rPr>
          <w:rFonts w:ascii="Arial" w:eastAsia="Arial" w:hAnsi="Arial" w:cs="Arial"/>
          <w:sz w:val="20"/>
          <w:szCs w:val="20"/>
        </w:rPr>
        <w:t xml:space="preserve">El artículo 2.2.9.8.1.4. del Decreto 1076 de 2015 dispuso que para efectos de la adquisición de predios o la implementación de esquemas de pago por servicios ambientales por parte de las entidades territoriales, las autoridades ambientales deberán previamente identificar, delimitar y priorizar las áreas de importancia </w:t>
      </w:r>
      <w:r>
        <w:rPr>
          <w:rFonts w:ascii="Arial" w:eastAsia="Arial" w:hAnsi="Arial" w:cs="Arial"/>
          <w:sz w:val="20"/>
          <w:szCs w:val="20"/>
        </w:rPr>
        <w:lastRenderedPageBreak/>
        <w:t>estratégica, con base en la información contenida en los planes de ordenación y manejo de cuencas hidrográficas, planes de manejo ambiental de microcuencas, planes de manejo ambiental de acuíferos o en otros instrumentos de planificación ambiental relacionados con el recurso hídrico.</w:t>
      </w:r>
    </w:p>
    <w:p w14:paraId="28F46266" w14:textId="77777777" w:rsidR="00546D1F" w:rsidRDefault="00000000">
      <w:pPr>
        <w:spacing w:before="240" w:after="240" w:line="240" w:lineRule="auto"/>
        <w:jc w:val="both"/>
        <w:rPr>
          <w:rFonts w:ascii="Arial" w:eastAsia="Arial" w:hAnsi="Arial" w:cs="Arial"/>
          <w:sz w:val="20"/>
          <w:szCs w:val="20"/>
        </w:rPr>
      </w:pPr>
      <w:r>
        <w:rPr>
          <w:rFonts w:ascii="Arial" w:eastAsia="Arial" w:hAnsi="Arial" w:cs="Arial"/>
          <w:sz w:val="20"/>
          <w:szCs w:val="20"/>
        </w:rPr>
        <w:t>El artículo 2.2.9.8.2.6 del Decreto 1076 de 2015 dispone que las entidades territoriales, las autoridades ambientales y las demás entidades públicas, en el marco de sus competencias, podrán articularse para la adquisición y mantenimiento de predios, y el artículo 2.2.9.8.2.5 de la misma norma establece la posibilidad de invertir los recursos de que trata el artículo 111 de la Ley 99 de 1993, modificado por el artículo 210 de la Ley 1450 de 2011 por fuera de su jurisdicción, siempre que el área seleccionada para compra, mantenimiento o pago por servicios ambientales sea considerada estratégica y prioritaria para la conservación de los recursos hídricos que surtan el respectivo acueducto de conformidad con lo dispuesto en el presente capítulo.</w:t>
      </w:r>
    </w:p>
    <w:p w14:paraId="426FA597" w14:textId="77777777" w:rsidR="00546D1F" w:rsidRDefault="00000000">
      <w:pPr>
        <w:spacing w:before="240" w:after="240" w:line="240" w:lineRule="auto"/>
        <w:jc w:val="both"/>
        <w:rPr>
          <w:rFonts w:ascii="Arial" w:eastAsia="Arial" w:hAnsi="Arial" w:cs="Arial"/>
          <w:sz w:val="20"/>
          <w:szCs w:val="20"/>
        </w:rPr>
      </w:pPr>
      <w:r>
        <w:rPr>
          <w:rFonts w:ascii="Arial" w:eastAsia="Arial" w:hAnsi="Arial" w:cs="Arial"/>
          <w:sz w:val="20"/>
          <w:szCs w:val="20"/>
        </w:rPr>
        <w:t>La orden No. 4.25 contenida en la sentencia del Consejo de Estado AP-25000-23-27-000-2001-90479- 01, ordena al Departamento de Cundinamarca, al Distrito Capital y a los entes territoriales que hacen parte de la cuenca hidrográfica del Río Bogotá, apropiar un porcentaje no inferior al 1% de sus ingresos corrientes para la adquisición y mantenimiento de dichas zonas o para financiar esquemas de pago por servicios ambientales, esto en concordancia con el artículo 20 de la Ley 1450 de 2011 y el Decreto reglamentario 953 de 2013.</w:t>
      </w:r>
    </w:p>
    <w:p w14:paraId="50307715" w14:textId="77777777" w:rsidR="00546D1F" w:rsidRDefault="00000000">
      <w:pPr>
        <w:spacing w:before="240" w:after="240" w:line="240" w:lineRule="auto"/>
        <w:jc w:val="both"/>
        <w:rPr>
          <w:rFonts w:ascii="Arial" w:eastAsia="Arial" w:hAnsi="Arial" w:cs="Arial"/>
          <w:sz w:val="20"/>
          <w:szCs w:val="20"/>
        </w:rPr>
      </w:pPr>
      <w:r>
        <w:rPr>
          <w:rFonts w:ascii="Arial" w:eastAsia="Arial" w:hAnsi="Arial" w:cs="Arial"/>
          <w:sz w:val="20"/>
          <w:szCs w:val="20"/>
        </w:rPr>
        <w:t xml:space="preserve">En cumplimiento a la sentencia del Río Bogotá y los estudios técnicos, las autoridades ambientales con jurisdicción en las áreas de importancia estratégica, la Corporación Autónoma Regional de Cundinamarca CAR, Corporinoquia, </w:t>
      </w:r>
      <w:proofErr w:type="spellStart"/>
      <w:r>
        <w:rPr>
          <w:rFonts w:ascii="Arial" w:eastAsia="Arial" w:hAnsi="Arial" w:cs="Arial"/>
          <w:sz w:val="20"/>
          <w:szCs w:val="20"/>
        </w:rPr>
        <w:t>Corpoguavio</w:t>
      </w:r>
      <w:proofErr w:type="spellEnd"/>
      <w:r>
        <w:rPr>
          <w:rFonts w:ascii="Arial" w:eastAsia="Arial" w:hAnsi="Arial" w:cs="Arial"/>
          <w:sz w:val="20"/>
          <w:szCs w:val="20"/>
        </w:rPr>
        <w:t xml:space="preserve"> y la Secretaría Distrital de Ambiente suscribieron acta de delimitación y priorización de las áreas de importancia estratégica el 21 de octubre de 2016, y posteriormente, dichas áreas fueron avaladas en sesión de 21 de noviembre de 2016 del Consejo Estratégico de la Cuenca</w:t>
      </w:r>
    </w:p>
    <w:p w14:paraId="6E5549AD" w14:textId="77777777" w:rsidR="00546D1F" w:rsidRDefault="00000000">
      <w:pPr>
        <w:spacing w:before="240" w:after="240" w:line="240" w:lineRule="auto"/>
        <w:jc w:val="both"/>
        <w:rPr>
          <w:rFonts w:ascii="Arial" w:eastAsia="Arial" w:hAnsi="Arial" w:cs="Arial"/>
          <w:color w:val="000000"/>
          <w:sz w:val="20"/>
          <w:szCs w:val="20"/>
        </w:rPr>
      </w:pPr>
      <w:r>
        <w:rPr>
          <w:rFonts w:ascii="Arial" w:eastAsia="Arial" w:hAnsi="Arial" w:cs="Arial"/>
          <w:sz w:val="20"/>
          <w:szCs w:val="20"/>
        </w:rPr>
        <w:t>Mediante Resoluciones 2332 de 2018 y 3922 de 2022 la Secretaría Distrital de Ambiente declaró en concertación con las Autoridades Ambientales en la Región las Áreas de Importancia Estratégica para el Abastecimiento Hídrico de Bogotá.</w:t>
      </w:r>
    </w:p>
    <w:p w14:paraId="58F86503" w14:textId="77777777" w:rsidR="00546D1F" w:rsidRDefault="00000000">
      <w:pPr>
        <w:spacing w:after="0" w:line="240" w:lineRule="auto"/>
        <w:jc w:val="both"/>
        <w:rPr>
          <w:rFonts w:ascii="Arial" w:eastAsia="Arial" w:hAnsi="Arial" w:cs="Arial"/>
          <w:sz w:val="20"/>
          <w:szCs w:val="20"/>
        </w:rPr>
      </w:pPr>
      <w:r>
        <w:rPr>
          <w:rFonts w:ascii="Arial" w:eastAsia="Arial" w:hAnsi="Arial" w:cs="Arial"/>
          <w:color w:val="000000"/>
          <w:sz w:val="20"/>
          <w:szCs w:val="20"/>
        </w:rPr>
        <w:t xml:space="preserve">Es por tal razón y con el ánimo de dar cumplimiento a lo anterior, que se hace necesario contratar un profesional que, desde la prestación de servicios a la entidad, en los procesos relacionados con las cuencas hidrográficas mediante la evaluación y análisis de los componentes hidrológicos, hidráulicos y ambientales, con un enfoque a la adaptación al cambio climático. De igual </w:t>
      </w:r>
      <w:r>
        <w:rPr>
          <w:rFonts w:ascii="Arial" w:eastAsia="Arial" w:hAnsi="Arial" w:cs="Arial"/>
          <w:sz w:val="20"/>
          <w:szCs w:val="20"/>
        </w:rPr>
        <w:t>manera,</w:t>
      </w:r>
      <w:r>
        <w:rPr>
          <w:rFonts w:ascii="Arial" w:eastAsia="Arial" w:hAnsi="Arial" w:cs="Arial"/>
          <w:color w:val="000000"/>
          <w:sz w:val="20"/>
          <w:szCs w:val="20"/>
        </w:rPr>
        <w:t xml:space="preserve"> realizar seguimiento de los instrumentos que asisten y fortalecen la gestión integral de la EEP en especial la sentencia Río Bogotá, en términos de sostenibilidad ambiental, de acuerdo con la misionalidad que tiene la SDA</w:t>
      </w:r>
      <w:r>
        <w:rPr>
          <w:rFonts w:ascii="Arial" w:eastAsia="Arial" w:hAnsi="Arial" w:cs="Arial"/>
          <w:sz w:val="20"/>
          <w:szCs w:val="20"/>
        </w:rPr>
        <w:t>.</w:t>
      </w:r>
    </w:p>
    <w:p w14:paraId="4C4804F9" w14:textId="77777777" w:rsidR="00546D1F" w:rsidRDefault="00546D1F">
      <w:pPr>
        <w:spacing w:after="0" w:line="240" w:lineRule="auto"/>
        <w:jc w:val="both"/>
        <w:rPr>
          <w:rFonts w:ascii="Arial" w:eastAsia="Arial" w:hAnsi="Arial" w:cs="Arial"/>
          <w:sz w:val="20"/>
          <w:szCs w:val="20"/>
        </w:rPr>
      </w:pPr>
    </w:p>
    <w:p w14:paraId="01F398FB" w14:textId="4715213E" w:rsidR="00546D1F" w:rsidRDefault="00000000">
      <w:pPr>
        <w:spacing w:after="0" w:line="240" w:lineRule="auto"/>
        <w:jc w:val="both"/>
        <w:rPr>
          <w:rFonts w:ascii="Arial" w:eastAsia="Arial" w:hAnsi="Arial" w:cs="Arial"/>
          <w:sz w:val="20"/>
          <w:szCs w:val="20"/>
        </w:rPr>
      </w:pPr>
      <w:r>
        <w:rPr>
          <w:rFonts w:ascii="Arial" w:eastAsia="Arial" w:hAnsi="Arial" w:cs="Arial"/>
          <w:sz w:val="20"/>
          <w:szCs w:val="20"/>
        </w:rPr>
        <w:t xml:space="preserve">Cabe resaltar que existe autorización de la </w:t>
      </w:r>
      <w:r w:rsidR="00FB43D9">
        <w:rPr>
          <w:rFonts w:ascii="Arial" w:eastAsia="Arial" w:hAnsi="Arial" w:cs="Arial"/>
          <w:sz w:val="20"/>
          <w:szCs w:val="20"/>
        </w:rPr>
        <w:t>Subdirección Contractual</w:t>
      </w:r>
      <w:r>
        <w:rPr>
          <w:rFonts w:ascii="Arial" w:eastAsia="Arial" w:hAnsi="Arial" w:cs="Arial"/>
          <w:sz w:val="20"/>
          <w:szCs w:val="20"/>
        </w:rPr>
        <w:t xml:space="preserve"> para suscripción de contratos con objetos iguales, conforme a lo establecido </w:t>
      </w:r>
      <w:r>
        <w:rPr>
          <w:rFonts w:ascii="Arial" w:eastAsia="Arial" w:hAnsi="Arial" w:cs="Arial"/>
          <w:color w:val="A6A6A6"/>
          <w:sz w:val="20"/>
          <w:szCs w:val="20"/>
        </w:rPr>
        <w:t xml:space="preserve">en el artículo 2.8.4.4.5 del Decreto 1068 de 2015, </w:t>
      </w:r>
      <w:r>
        <w:rPr>
          <w:rFonts w:ascii="Arial" w:eastAsia="Arial" w:hAnsi="Arial" w:cs="Arial"/>
          <w:sz w:val="20"/>
          <w:szCs w:val="20"/>
        </w:rPr>
        <w:t>y se anexa conjunto a los estudios previos la certificación de justificación de objetos iguales; y la presente contratación resulta viable de acuerdo con el certificado de insuficiencia de personal expedido por la Dirección de Gestión Corporativa, el cual establece que no existe personal disponible vinculado a la Entidad con el perfil para atender el objeto y las obligaciones contractuales y que en caso de encontrarse dichos perfiles, se encuentran desarrollando otras actividades en la entidad y son insuficientes para atender el objeto y las obligaciones contractuales requeridas.</w:t>
      </w:r>
    </w:p>
    <w:p w14:paraId="79408476" w14:textId="77777777" w:rsidR="00546D1F" w:rsidRDefault="00546D1F">
      <w:pPr>
        <w:spacing w:after="0" w:line="240" w:lineRule="auto"/>
        <w:jc w:val="both"/>
        <w:rPr>
          <w:rFonts w:ascii="Arial" w:eastAsia="Arial" w:hAnsi="Arial" w:cs="Arial"/>
          <w:sz w:val="20"/>
          <w:szCs w:val="20"/>
        </w:rPr>
      </w:pPr>
    </w:p>
    <w:p w14:paraId="3B269450" w14:textId="77777777" w:rsidR="00546D1F" w:rsidRDefault="00000000">
      <w:pPr>
        <w:spacing w:after="0" w:line="240" w:lineRule="auto"/>
        <w:jc w:val="both"/>
        <w:rPr>
          <w:rFonts w:ascii="Arial" w:eastAsia="Arial" w:hAnsi="Arial" w:cs="Arial"/>
          <w:sz w:val="20"/>
          <w:szCs w:val="20"/>
        </w:rPr>
      </w:pPr>
      <w:r>
        <w:rPr>
          <w:rFonts w:ascii="Arial" w:eastAsia="Arial" w:hAnsi="Arial" w:cs="Arial"/>
          <w:sz w:val="20"/>
          <w:szCs w:val="20"/>
        </w:rPr>
        <w:t xml:space="preserve">Que la </w:t>
      </w:r>
      <w:r>
        <w:rPr>
          <w:rFonts w:ascii="Arial" w:eastAsia="Arial" w:hAnsi="Arial" w:cs="Arial"/>
          <w:b/>
          <w:sz w:val="20"/>
          <w:szCs w:val="20"/>
        </w:rPr>
        <w:t>SECRETARÍA DISTRITAL DE AMBIENTE</w:t>
      </w:r>
      <w:r>
        <w:rPr>
          <w:rFonts w:ascii="Arial" w:eastAsia="Arial" w:hAnsi="Arial" w:cs="Arial"/>
          <w:sz w:val="20"/>
          <w:szCs w:val="20"/>
        </w:rPr>
        <w:t xml:space="preserve"> no cuenta con suficientes funcionarios de planta para realizar las actividades descritas y en cumplimiento de las funciones atribuidas por la ley, la </w:t>
      </w:r>
      <w:r>
        <w:rPr>
          <w:rFonts w:ascii="Arial" w:eastAsia="Arial" w:hAnsi="Arial" w:cs="Arial"/>
          <w:b/>
          <w:sz w:val="20"/>
          <w:szCs w:val="20"/>
        </w:rPr>
        <w:t>DIRECCIÓN DE GESTIÓN AMBIENTAL</w:t>
      </w:r>
      <w:r>
        <w:rPr>
          <w:rFonts w:ascii="Arial" w:eastAsia="Arial" w:hAnsi="Arial" w:cs="Arial"/>
          <w:sz w:val="20"/>
          <w:szCs w:val="20"/>
        </w:rPr>
        <w:t xml:space="preserve"> requiere contratar personal que lleve a cabo las actividades que permitan abastecer la necesidad de la entidad, a través del objeto contractual del presente proceso.</w:t>
      </w:r>
    </w:p>
    <w:p w14:paraId="52148B9E" w14:textId="77777777" w:rsidR="00546D1F" w:rsidRDefault="00546D1F">
      <w:pPr>
        <w:spacing w:after="0" w:line="240" w:lineRule="auto"/>
        <w:jc w:val="both"/>
        <w:rPr>
          <w:rFonts w:ascii="Arial" w:eastAsia="Arial" w:hAnsi="Arial" w:cs="Arial"/>
          <w:color w:val="FF0000"/>
          <w:sz w:val="20"/>
          <w:szCs w:val="20"/>
        </w:rPr>
      </w:pPr>
    </w:p>
    <w:p w14:paraId="793CFBF8"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bookmarkStart w:id="0" w:name="_heading=h.gjdgxs" w:colFirst="0" w:colLast="0"/>
      <w:bookmarkEnd w:id="0"/>
      <w:r>
        <w:rPr>
          <w:rFonts w:ascii="Arial" w:eastAsia="Arial" w:hAnsi="Arial" w:cs="Arial"/>
          <w:color w:val="000000"/>
          <w:sz w:val="20"/>
          <w:szCs w:val="20"/>
        </w:rPr>
        <w:t xml:space="preserve">Igualmente, la celebración del contrato de prestación de servicios conforme a lo señalado anteriormente cumple con lo estipulado en el principio de planeación, y se celebra por el termino estrictamente indispensable, termino en el que la SDA espera recibir por parte del contratista el cumplimiento del objeto contractual y las actividades y obligaciones que de él demandan. </w:t>
      </w:r>
    </w:p>
    <w:p w14:paraId="339B558D"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692DD0D2" w14:textId="77777777" w:rsidR="00546D1F" w:rsidRDefault="00000000">
      <w:pPr>
        <w:jc w:val="both"/>
        <w:rPr>
          <w:rFonts w:ascii="Arial" w:eastAsia="Arial" w:hAnsi="Arial" w:cs="Arial"/>
          <w:sz w:val="20"/>
          <w:szCs w:val="20"/>
        </w:rPr>
      </w:pPr>
      <w:r>
        <w:rPr>
          <w:rFonts w:ascii="Arial" w:eastAsia="Arial" w:hAnsi="Arial" w:cs="Arial"/>
          <w:sz w:val="20"/>
          <w:szCs w:val="20"/>
        </w:rPr>
        <w:t>Para finalizar se señala que las actividades que se ejecutarán en el marco del contrato se prestarán de forma coordinada con la Entidad sin que en ningún caso se genere en la misma una relación de subordinación o dependencia, por lo que el contratista prestará sus servicios con plena autonomía técnica, administrativa y financiera y con los recursos que debe disponer el mismo para el cumplimiento del objeto y obligaciones propuestas en el presente estudio previo.</w:t>
      </w:r>
    </w:p>
    <w:p w14:paraId="1DB0F6E3" w14:textId="77777777" w:rsidR="00546D1F" w:rsidRDefault="00000000">
      <w:pPr>
        <w:numPr>
          <w:ilvl w:val="1"/>
          <w:numId w:val="1"/>
        </w:numPr>
        <w:pBdr>
          <w:top w:val="nil"/>
          <w:left w:val="nil"/>
          <w:bottom w:val="nil"/>
          <w:right w:val="nil"/>
          <w:between w:val="nil"/>
        </w:pBdr>
        <w:jc w:val="both"/>
        <w:rPr>
          <w:rFonts w:ascii="Arial" w:eastAsia="Arial" w:hAnsi="Arial" w:cs="Arial"/>
          <w:b/>
          <w:color w:val="000000"/>
          <w:sz w:val="20"/>
          <w:szCs w:val="20"/>
        </w:rPr>
      </w:pPr>
      <w:r>
        <w:rPr>
          <w:rFonts w:ascii="Arial" w:eastAsia="Arial" w:hAnsi="Arial" w:cs="Arial"/>
          <w:b/>
          <w:color w:val="000000"/>
          <w:sz w:val="20"/>
          <w:szCs w:val="20"/>
        </w:rPr>
        <w:t>Clasificador de Bienes y Servicios</w:t>
      </w:r>
    </w:p>
    <w:p w14:paraId="28FC19D7"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El código UNSPSC para el presente contrato es el siguiente;</w:t>
      </w:r>
    </w:p>
    <w:p w14:paraId="6A78097F" w14:textId="77777777" w:rsidR="00546D1F" w:rsidRDefault="00546D1F">
      <w:pPr>
        <w:spacing w:after="0" w:line="240" w:lineRule="auto"/>
        <w:jc w:val="both"/>
        <w:rPr>
          <w:rFonts w:ascii="Arial" w:eastAsia="Arial" w:hAnsi="Arial" w:cs="Arial"/>
          <w:sz w:val="20"/>
          <w:szCs w:val="20"/>
        </w:rPr>
      </w:pPr>
    </w:p>
    <w:p w14:paraId="1A11366A" w14:textId="77777777" w:rsidR="00546D1F" w:rsidRDefault="00000000">
      <w:pPr>
        <w:numPr>
          <w:ilvl w:val="0"/>
          <w:numId w:val="2"/>
        </w:numPr>
        <w:pBdr>
          <w:top w:val="nil"/>
          <w:left w:val="nil"/>
          <w:bottom w:val="nil"/>
          <w:right w:val="nil"/>
          <w:between w:val="nil"/>
        </w:pBdr>
        <w:spacing w:after="0" w:line="240" w:lineRule="auto"/>
        <w:ind w:left="1134"/>
        <w:jc w:val="both"/>
        <w:rPr>
          <w:rFonts w:ascii="Arial" w:eastAsia="Arial" w:hAnsi="Arial" w:cs="Arial"/>
          <w:color w:val="000000"/>
          <w:sz w:val="20"/>
          <w:szCs w:val="20"/>
        </w:rPr>
      </w:pPr>
      <w:r>
        <w:rPr>
          <w:rFonts w:ascii="Arial" w:eastAsia="Arial" w:hAnsi="Arial" w:cs="Arial"/>
          <w:color w:val="000000"/>
          <w:sz w:val="20"/>
          <w:szCs w:val="20"/>
        </w:rPr>
        <w:t xml:space="preserve">80111600 – Servicios de Personal Temporal. </w:t>
      </w:r>
    </w:p>
    <w:p w14:paraId="21613BDA" w14:textId="77777777" w:rsidR="00546D1F" w:rsidRDefault="00546D1F">
      <w:pPr>
        <w:pBdr>
          <w:top w:val="nil"/>
          <w:left w:val="nil"/>
          <w:bottom w:val="nil"/>
          <w:right w:val="nil"/>
          <w:between w:val="nil"/>
        </w:pBdr>
        <w:spacing w:after="0"/>
        <w:ind w:left="720"/>
        <w:jc w:val="center"/>
        <w:rPr>
          <w:rFonts w:ascii="Arial" w:eastAsia="Arial" w:hAnsi="Arial" w:cs="Arial"/>
          <w:b/>
          <w:color w:val="000000"/>
          <w:sz w:val="20"/>
          <w:szCs w:val="20"/>
        </w:rPr>
      </w:pPr>
    </w:p>
    <w:p w14:paraId="2A41EEA4" w14:textId="77777777" w:rsidR="00546D1F" w:rsidRDefault="00000000">
      <w:pPr>
        <w:numPr>
          <w:ilvl w:val="0"/>
          <w:numId w:val="1"/>
        </w:numPr>
        <w:pBdr>
          <w:top w:val="nil"/>
          <w:left w:val="nil"/>
          <w:bottom w:val="nil"/>
          <w:right w:val="nil"/>
          <w:between w:val="nil"/>
        </w:pBdr>
        <w:spacing w:after="0"/>
        <w:jc w:val="center"/>
        <w:rPr>
          <w:rFonts w:ascii="Arial" w:eastAsia="Arial" w:hAnsi="Arial" w:cs="Arial"/>
          <w:b/>
          <w:color w:val="000000"/>
          <w:sz w:val="20"/>
          <w:szCs w:val="20"/>
        </w:rPr>
      </w:pPr>
      <w:r>
        <w:rPr>
          <w:rFonts w:ascii="Arial" w:eastAsia="Arial" w:hAnsi="Arial" w:cs="Arial"/>
          <w:b/>
          <w:color w:val="000000"/>
          <w:sz w:val="20"/>
          <w:szCs w:val="20"/>
        </w:rPr>
        <w:t>FUNDAMENTOS JURIDICOS DE LA MODALIDAD DE SELECCIÓN Y TIPOLOGIA DEL CONTRATO A CELEBRAR</w:t>
      </w:r>
    </w:p>
    <w:p w14:paraId="3E6CD841" w14:textId="77777777" w:rsidR="00546D1F" w:rsidRDefault="00546D1F">
      <w:pPr>
        <w:pBdr>
          <w:top w:val="nil"/>
          <w:left w:val="nil"/>
          <w:bottom w:val="nil"/>
          <w:right w:val="nil"/>
          <w:between w:val="nil"/>
        </w:pBdr>
        <w:spacing w:after="0"/>
        <w:ind w:left="720"/>
        <w:jc w:val="both"/>
        <w:rPr>
          <w:rFonts w:ascii="Arial" w:eastAsia="Arial" w:hAnsi="Arial" w:cs="Arial"/>
          <w:b/>
          <w:color w:val="000000"/>
          <w:sz w:val="20"/>
          <w:szCs w:val="20"/>
        </w:rPr>
      </w:pPr>
    </w:p>
    <w:p w14:paraId="70B104CF" w14:textId="77777777" w:rsidR="00546D1F" w:rsidRDefault="00000000">
      <w:pPr>
        <w:numPr>
          <w:ilvl w:val="1"/>
          <w:numId w:val="1"/>
        </w:numPr>
        <w:pBdr>
          <w:top w:val="nil"/>
          <w:left w:val="nil"/>
          <w:bottom w:val="nil"/>
          <w:right w:val="nil"/>
          <w:between w:val="nil"/>
        </w:pBdr>
        <w:jc w:val="both"/>
        <w:rPr>
          <w:rFonts w:ascii="Arial" w:eastAsia="Arial" w:hAnsi="Arial" w:cs="Arial"/>
          <w:b/>
          <w:color w:val="000000"/>
          <w:sz w:val="20"/>
          <w:szCs w:val="20"/>
        </w:rPr>
      </w:pPr>
      <w:r>
        <w:rPr>
          <w:rFonts w:ascii="Arial" w:eastAsia="Arial" w:hAnsi="Arial" w:cs="Arial"/>
          <w:b/>
          <w:color w:val="000000"/>
          <w:sz w:val="20"/>
          <w:szCs w:val="20"/>
        </w:rPr>
        <w:t xml:space="preserve">Régimen Jurídico Aplicable </w:t>
      </w:r>
    </w:p>
    <w:p w14:paraId="5212792D"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El contrato por suscribir estará sometido a la legislación y jurisdicción colombiana y se rige por las disposiciones comerciales y civiles pertinentes, salvo en la materia particularmente regulada en la Ley 80 de 1993, la Ley 1150 de 2007, la Ley 1474 de 2011, el Decreto Ley 019 de 2012, el Decreto Nacional 1082 de 2015 y demás normas que las complementen, adicionen, modifiquen o reglamenten.</w:t>
      </w:r>
    </w:p>
    <w:p w14:paraId="29BF967B"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35FCAC13"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Modalidad de Contratación  </w:t>
      </w:r>
    </w:p>
    <w:p w14:paraId="39622201" w14:textId="77777777" w:rsidR="00546D1F" w:rsidRDefault="00546D1F">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04BF56AF"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Las Entidades Estatales pueden contratar bajo la modalidad de contratación directa la prestación de servicios profesionales y/o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3B6D34A4"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678952D7"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servicios profesionales y/o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1A3BE517"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06D054D0"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Encomendarse a determinadas personas naturales, debe justificar esta situación en los estudios y documentos previos. </w:t>
      </w:r>
    </w:p>
    <w:p w14:paraId="01525E8C"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5001D010"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ese sentido, la modalidad de selección corresponde a la contratación directa, en aplicación de la causal contenida en el literal h) del artículo 4 de la Ley 1150 de 2007. </w:t>
      </w:r>
    </w:p>
    <w:p w14:paraId="7097E049"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0D843A19"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Tipología del Contrato por Celebrar</w:t>
      </w:r>
    </w:p>
    <w:p w14:paraId="24B58203" w14:textId="77777777" w:rsidR="00546D1F" w:rsidRDefault="00546D1F">
      <w:pPr>
        <w:pBdr>
          <w:top w:val="nil"/>
          <w:left w:val="nil"/>
          <w:bottom w:val="nil"/>
          <w:right w:val="nil"/>
          <w:between w:val="nil"/>
        </w:pBdr>
        <w:spacing w:after="0" w:line="240" w:lineRule="auto"/>
        <w:jc w:val="both"/>
        <w:rPr>
          <w:rFonts w:ascii="Arial" w:eastAsia="Arial" w:hAnsi="Arial" w:cs="Arial"/>
          <w:b/>
          <w:color w:val="000000"/>
          <w:sz w:val="20"/>
          <w:szCs w:val="20"/>
        </w:rPr>
      </w:pPr>
    </w:p>
    <w:p w14:paraId="62497804"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contrato por celebrar corresponde a un contrato de Prestación de Servicios Profesionales y/o Apoyo a la Gestión conforme el artículo 32 de la Ley 80 de 1993, el literal h) del artículo 4 de la Ley 1150 de 2007 y el artículo 2.2.1.2.1.4.9 del Decreto Nacional 1082 de 2015. </w:t>
      </w:r>
    </w:p>
    <w:p w14:paraId="378E23DF" w14:textId="77777777" w:rsidR="00546D1F" w:rsidRDefault="00546D1F">
      <w:pPr>
        <w:pBdr>
          <w:top w:val="nil"/>
          <w:left w:val="nil"/>
          <w:bottom w:val="nil"/>
          <w:right w:val="nil"/>
          <w:between w:val="nil"/>
        </w:pBdr>
        <w:spacing w:after="0" w:line="240" w:lineRule="auto"/>
        <w:jc w:val="both"/>
        <w:rPr>
          <w:rFonts w:ascii="Arial" w:eastAsia="Arial" w:hAnsi="Arial" w:cs="Arial"/>
          <w:b/>
          <w:color w:val="000000"/>
          <w:sz w:val="20"/>
          <w:szCs w:val="20"/>
        </w:rPr>
      </w:pPr>
    </w:p>
    <w:p w14:paraId="6302E37F" w14:textId="77777777" w:rsidR="00546D1F" w:rsidRDefault="00000000">
      <w:pPr>
        <w:numPr>
          <w:ilvl w:val="0"/>
          <w:numId w:val="1"/>
        </w:numPr>
        <w:pBdr>
          <w:top w:val="nil"/>
          <w:left w:val="nil"/>
          <w:bottom w:val="nil"/>
          <w:right w:val="nil"/>
          <w:between w:val="nil"/>
        </w:pBdr>
        <w:spacing w:after="0"/>
        <w:jc w:val="center"/>
        <w:rPr>
          <w:rFonts w:ascii="Arial" w:eastAsia="Arial" w:hAnsi="Arial" w:cs="Arial"/>
          <w:b/>
          <w:color w:val="000000"/>
          <w:sz w:val="20"/>
          <w:szCs w:val="20"/>
        </w:rPr>
      </w:pPr>
      <w:r>
        <w:rPr>
          <w:rFonts w:ascii="Arial" w:eastAsia="Arial" w:hAnsi="Arial" w:cs="Arial"/>
          <w:b/>
          <w:color w:val="000000"/>
          <w:sz w:val="20"/>
          <w:szCs w:val="20"/>
        </w:rPr>
        <w:t>INFORMACION DEL CONTRATO POR CELEBRAR</w:t>
      </w:r>
    </w:p>
    <w:p w14:paraId="00DE75E7" w14:textId="77777777" w:rsidR="00546D1F" w:rsidRDefault="00546D1F">
      <w:pPr>
        <w:pBdr>
          <w:top w:val="nil"/>
          <w:left w:val="nil"/>
          <w:bottom w:val="nil"/>
          <w:right w:val="nil"/>
          <w:between w:val="nil"/>
        </w:pBdr>
        <w:spacing w:after="0"/>
        <w:ind w:left="720"/>
        <w:rPr>
          <w:rFonts w:ascii="Arial" w:eastAsia="Arial" w:hAnsi="Arial" w:cs="Arial"/>
          <w:b/>
          <w:color w:val="000000"/>
          <w:sz w:val="20"/>
          <w:szCs w:val="20"/>
        </w:rPr>
      </w:pPr>
    </w:p>
    <w:p w14:paraId="715DCE92" w14:textId="57025BCF" w:rsidR="00546D1F" w:rsidRDefault="00000000">
      <w:pPr>
        <w:numPr>
          <w:ilvl w:val="1"/>
          <w:numId w:val="1"/>
        </w:numPr>
        <w:pBdr>
          <w:top w:val="nil"/>
          <w:left w:val="nil"/>
          <w:bottom w:val="nil"/>
          <w:right w:val="nil"/>
          <w:between w:val="nil"/>
        </w:pBdr>
        <w:spacing w:after="0"/>
        <w:jc w:val="both"/>
        <w:rPr>
          <w:rFonts w:ascii="Arial" w:eastAsia="Arial" w:hAnsi="Arial" w:cs="Arial"/>
          <w:b/>
          <w:color w:val="000000"/>
          <w:sz w:val="20"/>
          <w:szCs w:val="20"/>
        </w:rPr>
      </w:pPr>
      <w:r>
        <w:rPr>
          <w:rFonts w:ascii="Arial" w:eastAsia="Arial" w:hAnsi="Arial" w:cs="Arial"/>
          <w:b/>
          <w:color w:val="000000"/>
          <w:sz w:val="20"/>
          <w:szCs w:val="20"/>
        </w:rPr>
        <w:t xml:space="preserve">Objeto: </w:t>
      </w:r>
      <w:r w:rsidR="00FB43D9" w:rsidRPr="00FB43D9">
        <w:rPr>
          <w:rFonts w:ascii="Arial" w:eastAsia="Arial" w:hAnsi="Arial" w:cs="Arial"/>
          <w:b/>
          <w:color w:val="000000"/>
          <w:sz w:val="20"/>
          <w:szCs w:val="20"/>
        </w:rPr>
        <w:t>PRESTAR LOS SERVICIOS PROFESIONALES PARA REALIZAR LAS ACTIVIDADES ORIENTADAS A LA PLANIFICACIÓN, GESTIÓN Y SEGUIMIENTO DE ASPECTOS RELACIONADOS CON EL RECURSO HÍDRICO EN EL DISTRITO CAPITAL.</w:t>
      </w:r>
    </w:p>
    <w:p w14:paraId="36CAA4F6" w14:textId="77777777" w:rsidR="00546D1F" w:rsidRDefault="00546D1F">
      <w:pPr>
        <w:pBdr>
          <w:top w:val="nil"/>
          <w:left w:val="nil"/>
          <w:bottom w:val="nil"/>
          <w:right w:val="nil"/>
          <w:between w:val="nil"/>
        </w:pBdr>
        <w:spacing w:after="0"/>
        <w:ind w:left="1080"/>
        <w:jc w:val="both"/>
        <w:rPr>
          <w:rFonts w:ascii="Arial" w:eastAsia="Arial" w:hAnsi="Arial" w:cs="Arial"/>
          <w:b/>
          <w:color w:val="000000"/>
          <w:sz w:val="20"/>
          <w:szCs w:val="20"/>
        </w:rPr>
      </w:pPr>
    </w:p>
    <w:p w14:paraId="17274238" w14:textId="77777777" w:rsidR="00546D1F" w:rsidRDefault="00000000">
      <w:pPr>
        <w:numPr>
          <w:ilvl w:val="1"/>
          <w:numId w:val="1"/>
        </w:numPr>
        <w:pBdr>
          <w:top w:val="nil"/>
          <w:left w:val="nil"/>
          <w:bottom w:val="nil"/>
          <w:right w:val="nil"/>
          <w:between w:val="nil"/>
        </w:pBdr>
        <w:spacing w:after="0"/>
        <w:jc w:val="both"/>
        <w:rPr>
          <w:rFonts w:ascii="Arial" w:eastAsia="Arial" w:hAnsi="Arial" w:cs="Arial"/>
          <w:b/>
          <w:color w:val="000000"/>
          <w:sz w:val="20"/>
          <w:szCs w:val="20"/>
        </w:rPr>
      </w:pPr>
      <w:r>
        <w:rPr>
          <w:rFonts w:ascii="Arial" w:eastAsia="Arial" w:hAnsi="Arial" w:cs="Arial"/>
          <w:b/>
          <w:color w:val="000000"/>
          <w:sz w:val="20"/>
          <w:szCs w:val="20"/>
        </w:rPr>
        <w:t>Valor estimado del contrato y presupuesto oficial.</w:t>
      </w:r>
    </w:p>
    <w:p w14:paraId="58241172" w14:textId="77777777" w:rsidR="00546D1F" w:rsidRDefault="00546D1F">
      <w:pPr>
        <w:pBdr>
          <w:top w:val="nil"/>
          <w:left w:val="nil"/>
          <w:bottom w:val="nil"/>
          <w:right w:val="nil"/>
          <w:between w:val="nil"/>
        </w:pBdr>
        <w:ind w:left="720"/>
        <w:rPr>
          <w:rFonts w:ascii="Arial" w:eastAsia="Arial" w:hAnsi="Arial" w:cs="Arial"/>
          <w:b/>
          <w:color w:val="000000"/>
          <w:sz w:val="20"/>
          <w:szCs w:val="20"/>
        </w:rPr>
      </w:pPr>
    </w:p>
    <w:p w14:paraId="7ABE179B" w14:textId="63CF71E3"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sidRPr="00FB43D9">
        <w:rPr>
          <w:rFonts w:ascii="Arial" w:eastAsia="Arial" w:hAnsi="Arial" w:cs="Arial"/>
          <w:color w:val="000000"/>
          <w:sz w:val="20"/>
          <w:szCs w:val="20"/>
        </w:rPr>
        <w:t xml:space="preserve">El valor del contrato será hasta por la suma de </w:t>
      </w:r>
      <w:r w:rsidRPr="00FB43D9">
        <w:rPr>
          <w:rFonts w:ascii="Arial" w:eastAsia="Arial" w:hAnsi="Arial" w:cs="Arial"/>
          <w:b/>
          <w:color w:val="000000"/>
          <w:sz w:val="20"/>
          <w:szCs w:val="20"/>
        </w:rPr>
        <w:t>CIENTO UN MILLONES DOSCIENTOS TREINTA MIL</w:t>
      </w:r>
      <w:r w:rsidR="00FB43D9" w:rsidRPr="00FB43D9">
        <w:rPr>
          <w:rFonts w:ascii="Arial" w:eastAsia="Arial" w:hAnsi="Arial" w:cs="Arial"/>
          <w:color w:val="000000"/>
          <w:sz w:val="20"/>
          <w:szCs w:val="20"/>
        </w:rPr>
        <w:t xml:space="preserve"> </w:t>
      </w:r>
      <w:r w:rsidRPr="00FB43D9">
        <w:rPr>
          <w:rFonts w:ascii="Arial" w:eastAsia="Arial" w:hAnsi="Arial" w:cs="Arial"/>
          <w:b/>
          <w:color w:val="000000"/>
          <w:sz w:val="20"/>
          <w:szCs w:val="20"/>
        </w:rPr>
        <w:t>($101.230.000) M/CTE</w:t>
      </w:r>
      <w:r w:rsidRPr="00FB43D9">
        <w:rPr>
          <w:rFonts w:ascii="Arial" w:eastAsia="Arial" w:hAnsi="Arial" w:cs="Arial"/>
          <w:color w:val="000000"/>
          <w:sz w:val="20"/>
          <w:szCs w:val="20"/>
        </w:rPr>
        <w:t>, incluido IVA si a ello hubiere lugar. Del valor anterior, la SDA efectuará los descuentos que se generen de acuerdo con la normativa vigente y a los que haya lugar, en especial para Bogotá D.C.</w:t>
      </w:r>
      <w:r>
        <w:rPr>
          <w:rFonts w:ascii="Arial" w:eastAsia="Arial" w:hAnsi="Arial" w:cs="Arial"/>
          <w:color w:val="000000"/>
          <w:sz w:val="20"/>
          <w:szCs w:val="20"/>
        </w:rPr>
        <w:t xml:space="preserve"> </w:t>
      </w:r>
    </w:p>
    <w:p w14:paraId="699C834D"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346613B0"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Este valor incluye impuestos, tasas, contribuciones, costos directos e indirectos a que haya lugar. El valor final del contrato corresponderá a la prestación efectiva y real del servicio. En caso de terminación anticipada, cesión o suspensión del contrato, sólo habrá lugar al pago proporcional de los servicios efectivamente prestados. </w:t>
      </w:r>
    </w:p>
    <w:p w14:paraId="4B0E244C"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78935DE2"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b/>
          <w:color w:val="000000"/>
          <w:sz w:val="20"/>
          <w:szCs w:val="20"/>
        </w:rPr>
        <w:t>Forma de Pago</w:t>
      </w:r>
      <w:r>
        <w:rPr>
          <w:rFonts w:ascii="Arial" w:eastAsia="Arial" w:hAnsi="Arial" w:cs="Arial"/>
          <w:color w:val="000000"/>
          <w:sz w:val="20"/>
          <w:szCs w:val="20"/>
        </w:rPr>
        <w:t>.</w:t>
      </w:r>
    </w:p>
    <w:p w14:paraId="4885A4FB"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4A171104"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valor del contrato será cancelado por la SDA de la siguiente manera: </w:t>
      </w:r>
    </w:p>
    <w:p w14:paraId="71F4AC81"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528AB9D6"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sidRPr="00FB43D9">
        <w:rPr>
          <w:rFonts w:ascii="Arial" w:eastAsia="Arial" w:hAnsi="Arial" w:cs="Arial"/>
          <w:color w:val="000000"/>
          <w:sz w:val="20"/>
          <w:szCs w:val="20"/>
        </w:rPr>
        <w:t xml:space="preserve">La SECRETARÍA, pagará el valor del contrato en mensualidades vencidas, a razón de </w:t>
      </w:r>
      <w:r w:rsidRPr="00FB43D9">
        <w:rPr>
          <w:rFonts w:ascii="Arial" w:eastAsia="Arial" w:hAnsi="Arial" w:cs="Arial"/>
          <w:b/>
          <w:color w:val="000000"/>
          <w:sz w:val="20"/>
          <w:szCs w:val="20"/>
        </w:rPr>
        <w:t>DIEZ MILLONES CIENTO VEINTITRÉS MIL</w:t>
      </w:r>
      <w:r w:rsidRPr="00FB43D9">
        <w:rPr>
          <w:rFonts w:ascii="Arial" w:eastAsia="Arial" w:hAnsi="Arial" w:cs="Arial"/>
          <w:color w:val="000000"/>
          <w:sz w:val="20"/>
          <w:szCs w:val="20"/>
        </w:rPr>
        <w:t xml:space="preserve"> </w:t>
      </w:r>
      <w:r w:rsidRPr="00FB43D9">
        <w:rPr>
          <w:rFonts w:ascii="Arial" w:eastAsia="Arial" w:hAnsi="Arial" w:cs="Arial"/>
          <w:b/>
          <w:color w:val="000000"/>
          <w:sz w:val="20"/>
          <w:szCs w:val="20"/>
        </w:rPr>
        <w:t>PESOS M/CTE ($10.123.000) M/CTE.,</w:t>
      </w:r>
      <w:r w:rsidRPr="00FB43D9">
        <w:rPr>
          <w:rFonts w:ascii="Arial" w:eastAsia="Arial" w:hAnsi="Arial" w:cs="Arial"/>
          <w:color w:val="000000"/>
          <w:sz w:val="20"/>
          <w:szCs w:val="20"/>
        </w:rPr>
        <w:t xml:space="preserve"> cada una por el valor proporcional que resulte de la fracción de mes ejecutada, previa programación del PAA y de conformidad con lo establecido en las cláusulas comunes a los contratos de prestación de servicios</w:t>
      </w:r>
      <w:r>
        <w:rPr>
          <w:rFonts w:ascii="Arial" w:eastAsia="Arial" w:hAnsi="Arial" w:cs="Arial"/>
          <w:color w:val="000000"/>
          <w:sz w:val="20"/>
          <w:szCs w:val="20"/>
        </w:rPr>
        <w:t xml:space="preserve"> profesionales y de apoyo a la gestión del SIG, documento que hace parte integral del presente estudio previo.</w:t>
      </w:r>
    </w:p>
    <w:p w14:paraId="2F083304"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6899E5FC"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pagos se efectuarán previa radicación y aprobación de: i) Informe de actividades y/o entrega de productos e Informe periódico de supervisión expedido por el supervisor del contrato por cada pago que autoriza. </w:t>
      </w:r>
      <w:proofErr w:type="spellStart"/>
      <w:r>
        <w:rPr>
          <w:rFonts w:ascii="Arial" w:eastAsia="Arial" w:hAnsi="Arial" w:cs="Arial"/>
          <w:color w:val="000000"/>
          <w:sz w:val="20"/>
          <w:szCs w:val="20"/>
        </w:rPr>
        <w:t>ii</w:t>
      </w:r>
      <w:proofErr w:type="spellEnd"/>
      <w:r>
        <w:rPr>
          <w:rFonts w:ascii="Arial" w:eastAsia="Arial" w:hAnsi="Arial" w:cs="Arial"/>
          <w:color w:val="000000"/>
          <w:sz w:val="20"/>
          <w:szCs w:val="20"/>
        </w:rPr>
        <w:t xml:space="preserve">) Recibos de pago por concepto de aportes al sistema de seguridad social en salud, pensión y al </w:t>
      </w:r>
      <w:r>
        <w:rPr>
          <w:rFonts w:ascii="Arial" w:eastAsia="Arial" w:hAnsi="Arial" w:cs="Arial"/>
          <w:color w:val="000000"/>
          <w:sz w:val="20"/>
          <w:szCs w:val="20"/>
        </w:rPr>
        <w:lastRenderedPageBreak/>
        <w:t xml:space="preserve">sistema de riesgos laborales y aportes parafiscales si a ello hubiere lugar. </w:t>
      </w:r>
      <w:proofErr w:type="spellStart"/>
      <w:r>
        <w:rPr>
          <w:rFonts w:ascii="Arial" w:eastAsia="Arial" w:hAnsi="Arial" w:cs="Arial"/>
          <w:color w:val="000000"/>
          <w:sz w:val="20"/>
          <w:szCs w:val="20"/>
        </w:rPr>
        <w:t>iii</w:t>
      </w:r>
      <w:proofErr w:type="spellEnd"/>
      <w:r>
        <w:rPr>
          <w:rFonts w:ascii="Arial" w:eastAsia="Arial" w:hAnsi="Arial" w:cs="Arial"/>
          <w:color w:val="000000"/>
          <w:sz w:val="20"/>
          <w:szCs w:val="20"/>
        </w:rPr>
        <w:t xml:space="preserve">). Factura en caso de que el contratista este sujeto al régimen responsable de IVA. </w:t>
      </w:r>
    </w:p>
    <w:p w14:paraId="7318E3F6"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5F129C45" w14:textId="5E62FF58"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Sin perjuicio de lo anterior, queda entendido que la forma de pago supone la entrega real y efectiva de los informes y/o productos pactados y del cumplimiento de las obligaciones generales y específicas. </w:t>
      </w:r>
    </w:p>
    <w:p w14:paraId="6801FD0C"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2F55AA79"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0479BA21"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Plazo de Ejecución. </w:t>
      </w:r>
    </w:p>
    <w:p w14:paraId="4CE6331E" w14:textId="77777777" w:rsidR="00546D1F" w:rsidRDefault="00546D1F">
      <w:pPr>
        <w:pBdr>
          <w:top w:val="nil"/>
          <w:left w:val="nil"/>
          <w:bottom w:val="nil"/>
          <w:right w:val="nil"/>
          <w:between w:val="nil"/>
        </w:pBdr>
        <w:spacing w:after="0" w:line="240" w:lineRule="auto"/>
        <w:ind w:left="1080"/>
        <w:jc w:val="both"/>
        <w:rPr>
          <w:rFonts w:ascii="Arial" w:eastAsia="Arial" w:hAnsi="Arial" w:cs="Arial"/>
          <w:b/>
          <w:color w:val="000000"/>
          <w:sz w:val="20"/>
          <w:szCs w:val="20"/>
        </w:rPr>
      </w:pPr>
    </w:p>
    <w:p w14:paraId="3643E967" w14:textId="46E570FD"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sidRPr="00FB43D9">
        <w:rPr>
          <w:rFonts w:ascii="Arial" w:eastAsia="Arial" w:hAnsi="Arial" w:cs="Arial"/>
          <w:color w:val="000000"/>
          <w:sz w:val="20"/>
          <w:szCs w:val="20"/>
        </w:rPr>
        <w:t xml:space="preserve">El plazo de ejecución del contrato será por </w:t>
      </w:r>
      <w:r w:rsidR="00FB43D9" w:rsidRPr="00FB43D9">
        <w:rPr>
          <w:rFonts w:ascii="Arial" w:eastAsia="Arial" w:hAnsi="Arial" w:cs="Arial"/>
          <w:b/>
          <w:color w:val="000000"/>
          <w:sz w:val="20"/>
          <w:szCs w:val="20"/>
        </w:rPr>
        <w:t>DIEZ (10) MESES</w:t>
      </w:r>
      <w:r w:rsidRPr="00FB43D9">
        <w:rPr>
          <w:rFonts w:ascii="Arial" w:eastAsia="Arial" w:hAnsi="Arial" w:cs="Arial"/>
          <w:color w:val="A6A6A6"/>
          <w:sz w:val="20"/>
          <w:szCs w:val="20"/>
        </w:rPr>
        <w:t>,</w:t>
      </w:r>
      <w:r w:rsidRPr="00FB43D9">
        <w:rPr>
          <w:rFonts w:ascii="Arial" w:eastAsia="Arial" w:hAnsi="Arial" w:cs="Arial"/>
          <w:color w:val="000000"/>
          <w:sz w:val="20"/>
          <w:szCs w:val="20"/>
        </w:rPr>
        <w:t xml:space="preserve"> contado </w:t>
      </w:r>
      <w:r w:rsidRPr="00FB43D9">
        <w:rPr>
          <w:rFonts w:ascii="Arial" w:eastAsia="Arial" w:hAnsi="Arial" w:cs="Arial"/>
          <w:sz w:val="20"/>
          <w:szCs w:val="20"/>
        </w:rPr>
        <w:t xml:space="preserve">a partir del cumplimiento de los requisitos de perfeccionamiento y ejecución, sin exceder del 31 de diciembre de 2025. </w:t>
      </w:r>
    </w:p>
    <w:p w14:paraId="665DF6A6"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3DCC1D2A"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5A87AC72"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Obligaciones Generales </w:t>
      </w:r>
    </w:p>
    <w:p w14:paraId="21EF899A" w14:textId="77777777" w:rsidR="00546D1F" w:rsidRDefault="00546D1F">
      <w:pPr>
        <w:pBdr>
          <w:top w:val="nil"/>
          <w:left w:val="nil"/>
          <w:bottom w:val="nil"/>
          <w:right w:val="nil"/>
          <w:between w:val="nil"/>
        </w:pBdr>
        <w:spacing w:after="0" w:line="240" w:lineRule="auto"/>
        <w:jc w:val="both"/>
        <w:rPr>
          <w:rFonts w:ascii="Arial" w:eastAsia="Arial" w:hAnsi="Arial" w:cs="Arial"/>
          <w:b/>
          <w:color w:val="000000"/>
          <w:sz w:val="20"/>
          <w:szCs w:val="20"/>
        </w:rPr>
      </w:pPr>
    </w:p>
    <w:p w14:paraId="7D7E99E8"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bookmarkStart w:id="1" w:name="_heading=h.30j0zll" w:colFirst="0" w:colLast="0"/>
      <w:bookmarkEnd w:id="1"/>
      <w:r>
        <w:rPr>
          <w:rFonts w:ascii="Arial" w:eastAsia="Arial" w:hAnsi="Arial" w:cs="Arial"/>
          <w:color w:val="000000"/>
          <w:sz w:val="20"/>
          <w:szCs w:val="20"/>
        </w:rPr>
        <w:t xml:space="preserve">Cumplir con el objeto del contrato, entregar los informes o productos relacionados, y publicar los informes en SECOP II, una vez sean recibidos a satisfacción por parte del supervisor, para el pago respectivo. </w:t>
      </w:r>
    </w:p>
    <w:p w14:paraId="7CE345A0"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Dar cumplimiento a las obligaciones del Sistema de Seguridad Social Integral y presentar los documentos respectivos que así lo acrediten, conforme con lo establecido en el artículo 50 de la Ley 789 de 2002, en la Ley 828 de 2003, la Ley 1562 de 2012, Decreto Nacional 1072 de 2015, Ley 1955 de 2019 y demás normas que regulen la materia </w:t>
      </w:r>
    </w:p>
    <w:p w14:paraId="35F2FDFE"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Reportar al supervisor, de manera inmediata, cualquier novedad o anomalía que pueda afectar la ejecución del contrato. </w:t>
      </w:r>
    </w:p>
    <w:p w14:paraId="4606BE48"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Responder por la salvaguarda y preservación de los insumos, información generada, herramientas, implementación, inventarios y/o materiales que sean puestos a su disposición para la prestación del servicio objeto del contrato y entregarlos a la terminación del contrato. </w:t>
      </w:r>
    </w:p>
    <w:p w14:paraId="0BBEB52A"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Abstenerse de abandonar la ejecución del contrato de manera intempestiva, salvo en los eventos de fuerza mayor o caso fortuito, por lo tanto, para la terminación anticipada o cesión del contrato deberá avisar con tres días (3) días hábiles de anticipación con el fin de realizar la entrega a satisfacción de su gestión a la SDA. </w:t>
      </w:r>
    </w:p>
    <w:p w14:paraId="2E38BA0A"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Atender los requerimientos del supervisor, así como conocer y dar aplicación a los procedimientos e implementar los formatos establecidos por el Sistema Integrado de Gestión, que se requieran para el desarrollo de las actividades contractuales. </w:t>
      </w:r>
    </w:p>
    <w:p w14:paraId="5145EACC"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Entregar los archivos físicos, digitales y electrónicos de la información relativa a las operaciones, actividades y demás realizadas producto de la ejecución contractual, garantizando su conservación, preservación y confidencialidad.</w:t>
      </w:r>
    </w:p>
    <w:p w14:paraId="024D73CC"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Mantener reserva de la información que se genere, transfiera, conozca u obtenga en el marco de la ejecución del contrato. Los informes o productos relacionados con el objeto del contrato son de propiedad de la SDA y su uso total o parcial debe ser autorizado por la Entidad, a través del supervisor del contrato. </w:t>
      </w:r>
    </w:p>
    <w:p w14:paraId="70600ADC"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Informar oportunamente al supervisor acerca de los peligros y riesgos latentes en su sitio de trabajo ya sea en las instalaciones de la SDA o en el caso de la prestación del servicio en casa mientras aplique. </w:t>
      </w:r>
    </w:p>
    <w:p w14:paraId="2F8D8B24"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Informar a la entidad, la administradora de riesgos laborales a la cual se encuentra afiliado para que ésta realice la correspondiente novedad en la afiliación del contrato (inciso 2 del artículo 2.2.4.2.2.9 del Decreto Nacional 1072 de 2015). </w:t>
      </w:r>
    </w:p>
    <w:p w14:paraId="641FC02A"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Defender en todas sus actuaciones los intereses de la SDA, obrar con lealtad, buena fe, diligencia y cuidado en los asuntos que deba atender en el marco del contrato; así como responder por sus actos u omisiones en ejecución del contrato, cuando con ello cause perjuicios a la administración o a terceros. </w:t>
      </w:r>
    </w:p>
    <w:p w14:paraId="311BEE2A"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Prestar los servicios contratados con autonomía e independencia. </w:t>
      </w:r>
    </w:p>
    <w:p w14:paraId="178C921C"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Cumplir con los lineamientos del Sistema de Gestión Documental – FOREST y gestionar los tramites asignados a su usuario dentro de los términos establecidos por ley. </w:t>
      </w:r>
    </w:p>
    <w:p w14:paraId="06CDEF47" w14:textId="77777777" w:rsidR="00546D1F" w:rsidRDefault="00000000">
      <w:pPr>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Incorporar en el diseño y el desarrollo de plataformas, aplicativos web y sistemas de información, así como en la producción de contenidos gráficos y audiovisuales de la Secretaría Distrital de Ambiente, criterios de accesibilidad y usabilidad para dar cumplimiento a los lineamientos señalados en la Ley 1712 de 2014 y en la Resolución MINTIC 1519 de 2020 y su anexo 1.</w:t>
      </w:r>
    </w:p>
    <w:p w14:paraId="256125A0" w14:textId="77777777" w:rsidR="00546D1F" w:rsidRDefault="00000000">
      <w:pPr>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Radicar su factura previamente validada por la DIAN, para el caso en que se encuentre obligado a presentar facturación electrónica, lo cual será requisito necesario para el pago conforme con las disposiciones señaladas en el Decreto Nacional 358 del 5 de marzo de 2020, en concordancia con lo dispuesto en la Resolución No. 000042 del 5 de mayo de 2020 y la Directiva Presidencial No. 09 del 17 de septiembre de 2020. </w:t>
      </w:r>
    </w:p>
    <w:p w14:paraId="1AED32C2" w14:textId="77777777" w:rsidR="00546D1F" w:rsidRDefault="00000000">
      <w:pPr>
        <w:numPr>
          <w:ilvl w:val="0"/>
          <w:numId w:val="3"/>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Cumplir con las normas, Procesos, Procedimientos, Instructivos, Lineamientos y Políticas del Sistema de Gestión de Seguridad y Salud en el Trabajo. Asimismo, EL CONTRATISTA, cuando realice actividades donde se requiera el uso de los Elementos de Protección Personal, deberá dotarse con los implementos de seguridad mínimos requeridos por Ley. </w:t>
      </w:r>
    </w:p>
    <w:p w14:paraId="18C108D5" w14:textId="77777777" w:rsidR="00546D1F" w:rsidRDefault="00000000">
      <w:pPr>
        <w:widowControl w:val="0"/>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Pr>
          <w:rFonts w:ascii="Arial" w:eastAsia="Arial" w:hAnsi="Arial" w:cs="Arial"/>
          <w:color w:val="000000"/>
          <w:sz w:val="20"/>
          <w:szCs w:val="20"/>
          <w:highlight w:val="white"/>
        </w:rPr>
        <w:t xml:space="preserve">Participar activamente en las actividades de gestión, instrucción o divulgación del sistema de gestión ambiental proferidas por </w:t>
      </w:r>
      <w:r>
        <w:rPr>
          <w:rFonts w:ascii="Arial" w:eastAsia="Arial" w:hAnsi="Arial" w:cs="Arial"/>
          <w:b/>
          <w:color w:val="000000"/>
          <w:sz w:val="20"/>
          <w:szCs w:val="20"/>
        </w:rPr>
        <w:t>LA SECRETARÍA</w:t>
      </w:r>
      <w:r>
        <w:rPr>
          <w:rFonts w:ascii="Arial" w:eastAsia="Arial" w:hAnsi="Arial" w:cs="Arial"/>
          <w:color w:val="000000"/>
          <w:sz w:val="20"/>
          <w:szCs w:val="20"/>
          <w:highlight w:val="white"/>
        </w:rPr>
        <w:t xml:space="preserve">. Y dar cumplimiento a lo contemplado en los lineamientos ambientales establecidos para el uso eficiente de los recursos de la entidad (PIGA). </w:t>
      </w:r>
    </w:p>
    <w:p w14:paraId="407C8A60"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A fin de garantizar la seguridad de la información y mitigar la fuga de conocimiento a la que tenga acceso o produzca en el desarrollo del contrato entregar inventariados, al supervisor de su contrato, los archivos, expedientes y demás documentos, tanto físicos como digitales, que tenga a su cargo en virtud del desarrollo del presente contrato, entrega que deberá hacer de acuerdo con los procedimientos del SDA.</w:t>
      </w:r>
    </w:p>
    <w:p w14:paraId="04D56B28" w14:textId="77777777" w:rsidR="00546D1F" w:rsidRDefault="00000000">
      <w:pPr>
        <w:numPr>
          <w:ilvl w:val="0"/>
          <w:numId w:val="3"/>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Los derechos patrimoniales de autor sobre los productos, archivos, formatos, aplicativos, estudios, investigaciones, descubrimientos  invenciones, información, mejoras en software y en general de la documentación desarrollada por los contratistas con la ocasión de las obligaciones contractuales establecidas en el respectivo documento de vinculación contractual con la entidad,  ya sean individuales colectivos o en colaboración serán de propiedad de la Secretaria Distrital de Ambiente,  de conformidad con lo establecido en la Ley 23 de 1982,  Ley 1915 de 2018 y las demás que la complementen, sustituyan o adicionen. Estas acciones serán únicamente resultado de la labor realizada por el contratista para la entidad haciendo uso de los medios técnicos y legales que posea la entidad.</w:t>
      </w:r>
    </w:p>
    <w:p w14:paraId="0A7C8EB0"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677AAF68"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Obligaciones Especificas</w:t>
      </w:r>
    </w:p>
    <w:p w14:paraId="68A80ED5"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124DEA5B" w14:textId="77777777" w:rsidR="00546D1F" w:rsidRDefault="0000000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Proveer acompañamiento técnico a la Dirección de Gestión Ambiental en los procesos relacionados con las cuencas hidrográficas, en el marco de las sentencias del Río Bogotá y los Cerros Orientales.</w:t>
      </w:r>
    </w:p>
    <w:p w14:paraId="52246AE4" w14:textId="77777777" w:rsidR="00546D1F"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Colaborar y participar en los temas relacionados de recurso hídrico de los equipos de trabajo de la Subdirección de Ecosistemas y Ruralidad.  </w:t>
      </w:r>
    </w:p>
    <w:p w14:paraId="5A2591C1" w14:textId="77777777" w:rsidR="00546D1F"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Realizar la interlocución para articular las metas con la Subdirección de Recurso Hídrico y Suelo y Subdirección de Ecourbanismo y Gestión Ambiental Empresarial en lo relacionado con el objeto contractual.</w:t>
      </w:r>
    </w:p>
    <w:p w14:paraId="6E558CA6" w14:textId="77777777" w:rsidR="00546D1F"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 xml:space="preserve">Evaluar, orientar y revisar la respuesta desde el componente técnico de los enlaces al concejo que le sean asignados a la Dirección de Gestión Ambiental y sus subdirecciones. </w:t>
      </w:r>
    </w:p>
    <w:p w14:paraId="6301BFF4" w14:textId="77777777" w:rsidR="00546D1F"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Revisar técnicamente los requerimientos internos y externos que lleguen a la Dirección de Gestión Ambiental.</w:t>
      </w:r>
    </w:p>
    <w:p w14:paraId="552DD306" w14:textId="77777777" w:rsidR="00546D1F"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Implementar mecanismos de mejora para la respuesta oportuna de los requerimientos que lleguen a la Dirección de Gestión Ambiental y sus subdirecciones.</w:t>
      </w:r>
    </w:p>
    <w:p w14:paraId="5A056FC9" w14:textId="77777777" w:rsidR="00546D1F" w:rsidRDefault="00000000">
      <w:pPr>
        <w:numPr>
          <w:ilvl w:val="0"/>
          <w:numId w:val="4"/>
        </w:numPr>
        <w:pBdr>
          <w:top w:val="nil"/>
          <w:left w:val="nil"/>
          <w:bottom w:val="nil"/>
          <w:right w:val="nil"/>
          <w:between w:val="nil"/>
        </w:pBdr>
        <w:spacing w:after="0"/>
        <w:jc w:val="both"/>
        <w:rPr>
          <w:rFonts w:ascii="Arial" w:eastAsia="Arial" w:hAnsi="Arial" w:cs="Arial"/>
          <w:color w:val="000000"/>
          <w:sz w:val="20"/>
          <w:szCs w:val="20"/>
        </w:rPr>
      </w:pPr>
      <w:r>
        <w:rPr>
          <w:rFonts w:ascii="Arial" w:eastAsia="Arial" w:hAnsi="Arial" w:cs="Arial"/>
          <w:color w:val="000000"/>
          <w:sz w:val="20"/>
          <w:szCs w:val="20"/>
        </w:rPr>
        <w:t>Participar, atender y documentar todas las reuniones internas o externas a las que sea convocado o delegado, en relación con el objeto contractual.</w:t>
      </w:r>
    </w:p>
    <w:p w14:paraId="1D9E4D5C" w14:textId="77777777" w:rsidR="00546D1F" w:rsidRDefault="00000000">
      <w:pPr>
        <w:numPr>
          <w:ilvl w:val="0"/>
          <w:numId w:val="4"/>
        </w:numPr>
        <w:pBdr>
          <w:top w:val="nil"/>
          <w:left w:val="nil"/>
          <w:bottom w:val="nil"/>
          <w:right w:val="nil"/>
          <w:between w:val="nil"/>
        </w:pBdr>
        <w:jc w:val="both"/>
        <w:rPr>
          <w:rFonts w:ascii="Arial" w:eastAsia="Arial" w:hAnsi="Arial" w:cs="Arial"/>
          <w:color w:val="000000"/>
          <w:sz w:val="20"/>
          <w:szCs w:val="20"/>
        </w:rPr>
      </w:pPr>
      <w:r>
        <w:rPr>
          <w:rFonts w:ascii="Arial" w:eastAsia="Arial" w:hAnsi="Arial" w:cs="Arial"/>
          <w:color w:val="000000"/>
          <w:sz w:val="20"/>
          <w:szCs w:val="20"/>
        </w:rPr>
        <w:t>Las demás actividades complementarias que se requieran en desarrollo del objeto contractual.</w:t>
      </w:r>
    </w:p>
    <w:p w14:paraId="5D0A8601" w14:textId="77777777" w:rsidR="00546D1F" w:rsidRDefault="00546D1F">
      <w:pPr>
        <w:pBdr>
          <w:top w:val="nil"/>
          <w:left w:val="nil"/>
          <w:bottom w:val="nil"/>
          <w:right w:val="nil"/>
          <w:between w:val="nil"/>
        </w:pBdr>
        <w:spacing w:after="0" w:line="240" w:lineRule="auto"/>
        <w:ind w:left="1080"/>
        <w:jc w:val="both"/>
        <w:rPr>
          <w:rFonts w:ascii="Arial" w:eastAsia="Arial" w:hAnsi="Arial" w:cs="Arial"/>
          <w:color w:val="808080"/>
          <w:sz w:val="20"/>
          <w:szCs w:val="20"/>
        </w:rPr>
      </w:pPr>
    </w:p>
    <w:p w14:paraId="77C3CE6B"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Informes y/o Productos </w:t>
      </w:r>
    </w:p>
    <w:p w14:paraId="2DD2DAF4" w14:textId="77777777" w:rsidR="00546D1F" w:rsidRDefault="00546D1F">
      <w:pPr>
        <w:pBdr>
          <w:top w:val="nil"/>
          <w:left w:val="nil"/>
          <w:bottom w:val="nil"/>
          <w:right w:val="nil"/>
          <w:between w:val="nil"/>
        </w:pBdr>
        <w:spacing w:after="0" w:line="240" w:lineRule="auto"/>
        <w:jc w:val="both"/>
        <w:rPr>
          <w:rFonts w:ascii="Arial" w:eastAsia="Arial" w:hAnsi="Arial" w:cs="Arial"/>
          <w:b/>
          <w:color w:val="000000"/>
          <w:sz w:val="20"/>
          <w:szCs w:val="20"/>
        </w:rPr>
      </w:pPr>
    </w:p>
    <w:p w14:paraId="0D2694B1"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contratista se obliga a presentar un (1) informe mensual, en razón a cada uno de los pagos señalados, en los cuales describa las actividades desarrolladas, de acuerdo con la forma establecida por la SDA. </w:t>
      </w:r>
    </w:p>
    <w:p w14:paraId="1C22F9CF"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04D633D3"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igual manera, el contratista se obliga a cargar dichos informes mensuales a la plataforma SECOP II, en los términos que señalé la SDA, con la finalidad de mantener el expediente contractual completo. </w:t>
      </w:r>
    </w:p>
    <w:p w14:paraId="288ECCEB"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09580DBE"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1213F89C"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Lugar de Ejecución </w:t>
      </w:r>
    </w:p>
    <w:p w14:paraId="23353032" w14:textId="77777777" w:rsidR="00546D1F" w:rsidRDefault="00546D1F">
      <w:pPr>
        <w:pBdr>
          <w:top w:val="nil"/>
          <w:left w:val="nil"/>
          <w:bottom w:val="nil"/>
          <w:right w:val="nil"/>
          <w:between w:val="nil"/>
        </w:pBdr>
        <w:spacing w:after="0" w:line="240" w:lineRule="auto"/>
        <w:jc w:val="both"/>
        <w:rPr>
          <w:rFonts w:ascii="Arial" w:eastAsia="Arial" w:hAnsi="Arial" w:cs="Arial"/>
          <w:b/>
          <w:color w:val="000000"/>
          <w:sz w:val="20"/>
          <w:szCs w:val="20"/>
        </w:rPr>
      </w:pPr>
    </w:p>
    <w:p w14:paraId="4A86B87E"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El lugar de ejecución del contrato será en la ciudad de </w:t>
      </w:r>
      <w:r>
        <w:rPr>
          <w:rFonts w:ascii="Arial" w:eastAsia="Arial" w:hAnsi="Arial" w:cs="Arial"/>
          <w:b/>
          <w:color w:val="000000"/>
          <w:sz w:val="20"/>
          <w:szCs w:val="20"/>
        </w:rPr>
        <w:t>Bogotá D.C.</w:t>
      </w:r>
      <w:r>
        <w:rPr>
          <w:rFonts w:ascii="Arial" w:eastAsia="Arial" w:hAnsi="Arial" w:cs="Arial"/>
          <w:color w:val="000000"/>
          <w:sz w:val="20"/>
          <w:szCs w:val="20"/>
        </w:rPr>
        <w:t xml:space="preserve"> </w:t>
      </w:r>
    </w:p>
    <w:p w14:paraId="2D609ACF"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6E1FB34A"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Nota: Para todos los efectos contractuales se tendrán como domicilio la ciudad de Bogotá. </w:t>
      </w:r>
    </w:p>
    <w:p w14:paraId="512E11A5"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6F67D934"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Nivel de riesgo ARL </w:t>
      </w:r>
    </w:p>
    <w:p w14:paraId="7E04A02A" w14:textId="77777777" w:rsidR="00546D1F" w:rsidRDefault="00546D1F">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12816A44" w14:textId="031068DF" w:rsidR="00546D1F" w:rsidRPr="00FB43D9" w:rsidRDefault="00000000">
      <w:pPr>
        <w:pBdr>
          <w:top w:val="nil"/>
          <w:left w:val="nil"/>
          <w:bottom w:val="nil"/>
          <w:right w:val="nil"/>
          <w:between w:val="nil"/>
        </w:pBdr>
        <w:spacing w:after="0" w:line="240" w:lineRule="auto"/>
        <w:jc w:val="both"/>
        <w:rPr>
          <w:rFonts w:ascii="Arial" w:eastAsia="Arial" w:hAnsi="Arial" w:cs="Arial"/>
          <w:sz w:val="20"/>
          <w:szCs w:val="20"/>
        </w:rPr>
      </w:pPr>
      <w:r>
        <w:rPr>
          <w:rFonts w:ascii="Arial" w:eastAsia="Arial" w:hAnsi="Arial" w:cs="Arial"/>
          <w:color w:val="000000"/>
          <w:sz w:val="20"/>
          <w:szCs w:val="20"/>
        </w:rPr>
        <w:t xml:space="preserve">Con base a las actividades a desarrollar descritas en el presente documento, es oportuno señalar que quien llegare a ejecutar el objeto contractual se ubicará en la </w:t>
      </w:r>
      <w:r w:rsidRPr="00FB43D9">
        <w:rPr>
          <w:rFonts w:ascii="Arial" w:eastAsia="Arial" w:hAnsi="Arial" w:cs="Arial"/>
          <w:b/>
          <w:sz w:val="20"/>
          <w:szCs w:val="20"/>
        </w:rPr>
        <w:t>NIVEL 1</w:t>
      </w:r>
      <w:r w:rsidR="00FB43D9" w:rsidRPr="00FB43D9">
        <w:rPr>
          <w:rFonts w:ascii="Arial" w:eastAsia="Arial" w:hAnsi="Arial" w:cs="Arial"/>
          <w:sz w:val="20"/>
          <w:szCs w:val="20"/>
        </w:rPr>
        <w:t>, actividad de riesgo bajo</w:t>
      </w:r>
      <w:r w:rsidRPr="00FB43D9">
        <w:rPr>
          <w:rFonts w:ascii="Arial" w:eastAsia="Arial" w:hAnsi="Arial" w:cs="Arial"/>
          <w:sz w:val="20"/>
          <w:szCs w:val="20"/>
        </w:rPr>
        <w:t xml:space="preserve">, el cual contempla actividades consideradas de riesgo. </w:t>
      </w:r>
    </w:p>
    <w:p w14:paraId="09D661B0"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006E4C26"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226BEB8E" w14:textId="77777777" w:rsidR="00546D1F"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ANALISIS DEL SECTOR</w:t>
      </w:r>
    </w:p>
    <w:p w14:paraId="21385E56" w14:textId="77777777" w:rsidR="00546D1F" w:rsidRDefault="00546D1F">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0A87CD9E"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De conformidad con lo previsto en el artículo 2.2.1.1.1.6.1 del Decreto Nacional 1082 de 2015, las entidades estatales, durante la etapa de planeación, tienen el deber de analizar y conocer el sector relativo al objeto del Proceso de Contratación. Por lo anterior, la Agencia realiza el siguiente análisis: </w:t>
      </w:r>
    </w:p>
    <w:p w14:paraId="16E7E35B"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5909D7B0"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Perspectiva Legal </w:t>
      </w:r>
    </w:p>
    <w:p w14:paraId="69A450EA" w14:textId="77777777" w:rsidR="00546D1F" w:rsidRDefault="00546D1F">
      <w:pPr>
        <w:pBdr>
          <w:top w:val="nil"/>
          <w:left w:val="nil"/>
          <w:bottom w:val="nil"/>
          <w:right w:val="nil"/>
          <w:between w:val="nil"/>
        </w:pBdr>
        <w:spacing w:after="0" w:line="240" w:lineRule="auto"/>
        <w:jc w:val="both"/>
        <w:rPr>
          <w:rFonts w:ascii="Arial" w:eastAsia="Arial" w:hAnsi="Arial" w:cs="Arial"/>
          <w:b/>
          <w:color w:val="000000"/>
          <w:sz w:val="20"/>
          <w:szCs w:val="20"/>
        </w:rPr>
      </w:pPr>
    </w:p>
    <w:p w14:paraId="5FC11EA9"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Desde el punto de vista legal, la contratación de servicios profesionales y de apoyo a la gestión está amparada en el numeral tercero del artículo 32 de la Ley 80 de 1993, que enuncia: </w:t>
      </w:r>
    </w:p>
    <w:p w14:paraId="0EC22AB0"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49EC6DFD" w14:textId="77777777" w:rsidR="00546D1F" w:rsidRDefault="00000000">
      <w:pPr>
        <w:pBdr>
          <w:top w:val="nil"/>
          <w:left w:val="nil"/>
          <w:bottom w:val="nil"/>
          <w:right w:val="nil"/>
          <w:between w:val="nil"/>
        </w:pBdr>
        <w:spacing w:after="0" w:line="240" w:lineRule="auto"/>
        <w:ind w:left="567" w:right="333"/>
        <w:jc w:val="both"/>
        <w:rPr>
          <w:rFonts w:ascii="Arial" w:eastAsia="Arial" w:hAnsi="Arial" w:cs="Arial"/>
          <w:i/>
          <w:color w:val="000000"/>
          <w:sz w:val="20"/>
          <w:szCs w:val="20"/>
        </w:rPr>
      </w:pPr>
      <w:r>
        <w:rPr>
          <w:rFonts w:ascii="Arial" w:eastAsia="Arial" w:hAnsi="Arial" w:cs="Arial"/>
          <w:i/>
          <w:color w:val="000000"/>
          <w:sz w:val="20"/>
          <w:szCs w:val="20"/>
        </w:rPr>
        <w:t xml:space="preserve">“(…) 3. Contrato de prestación de servicios. 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conocimientos especializados. En ningún caso estos contratos generan relación laboral ni prestaciones sociales y se celebrarán por el término estrictamente indispensable (…).” </w:t>
      </w:r>
    </w:p>
    <w:p w14:paraId="0E446AC4" w14:textId="77777777" w:rsidR="00546D1F" w:rsidRDefault="00546D1F">
      <w:pPr>
        <w:pBdr>
          <w:top w:val="nil"/>
          <w:left w:val="nil"/>
          <w:bottom w:val="nil"/>
          <w:right w:val="nil"/>
          <w:between w:val="nil"/>
        </w:pBdr>
        <w:spacing w:after="0" w:line="240" w:lineRule="auto"/>
        <w:ind w:left="567" w:right="333"/>
        <w:jc w:val="both"/>
        <w:rPr>
          <w:rFonts w:ascii="Arial" w:eastAsia="Arial" w:hAnsi="Arial" w:cs="Arial"/>
          <w:i/>
          <w:color w:val="000000"/>
          <w:sz w:val="20"/>
          <w:szCs w:val="20"/>
        </w:rPr>
      </w:pPr>
    </w:p>
    <w:p w14:paraId="71C08B3C"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igual manera, el artículo 2.2.1.2.1.4.9 del Decreto Nacional 1082 de 2015, dispone lo siguiente: </w:t>
      </w:r>
    </w:p>
    <w:p w14:paraId="02AA792F" w14:textId="77777777" w:rsidR="00546D1F" w:rsidRDefault="00546D1F">
      <w:pPr>
        <w:pBdr>
          <w:top w:val="nil"/>
          <w:left w:val="nil"/>
          <w:bottom w:val="nil"/>
          <w:right w:val="nil"/>
          <w:between w:val="nil"/>
        </w:pBdr>
        <w:spacing w:after="0" w:line="240" w:lineRule="auto"/>
        <w:jc w:val="both"/>
        <w:rPr>
          <w:rFonts w:ascii="Arial" w:eastAsia="Arial" w:hAnsi="Arial" w:cs="Arial"/>
          <w:b/>
          <w:color w:val="000000"/>
          <w:sz w:val="20"/>
          <w:szCs w:val="20"/>
        </w:rPr>
      </w:pPr>
    </w:p>
    <w:p w14:paraId="60F7A144" w14:textId="77777777" w:rsidR="00546D1F"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t>“</w:t>
      </w:r>
      <w:r>
        <w:rPr>
          <w:rFonts w:ascii="Arial" w:eastAsia="Arial" w:hAnsi="Arial" w:cs="Arial"/>
          <w:b/>
          <w:i/>
          <w:color w:val="000000"/>
          <w:sz w:val="20"/>
          <w:szCs w:val="20"/>
        </w:rPr>
        <w:t>Artículo 2.2.1.2.1.4.9. Contratos de prestación de servicios profesionales y de apoyo a la gestión, o para la ejecución de trabajos artísticos que solo pueden encomendarse a determinadas personas naturales</w:t>
      </w:r>
      <w:r>
        <w:rPr>
          <w:rFonts w:ascii="Arial" w:eastAsia="Arial" w:hAnsi="Arial" w:cs="Arial"/>
          <w:i/>
          <w:color w:val="000000"/>
          <w:sz w:val="20"/>
          <w:szCs w:val="20"/>
        </w:rPr>
        <w:t xml:space="preserve">. Las entidades estatales pueden contratar bajo la modalidad de contratación directa la prestación de servicios profesionales 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16F29975" w14:textId="77777777" w:rsidR="00546D1F" w:rsidRDefault="00546D1F">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73F5C942" w14:textId="77777777" w:rsidR="00546D1F"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t xml:space="preserve">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3736EC2D" w14:textId="77777777" w:rsidR="00546D1F" w:rsidRDefault="00546D1F">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510F5649" w14:textId="77777777" w:rsidR="00546D1F" w:rsidRDefault="00000000">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r>
        <w:rPr>
          <w:rFonts w:ascii="Arial" w:eastAsia="Arial" w:hAnsi="Arial" w:cs="Arial"/>
          <w:i/>
          <w:color w:val="000000"/>
          <w:sz w:val="20"/>
          <w:szCs w:val="20"/>
        </w:rPr>
        <w:t xml:space="preserve">La entidad estatal, para la contratación de trabajos artísticos que solamente puedan encomendarse a determinadas personas naturales, debe justificar esta situación en los estudios y documentos previos.” </w:t>
      </w:r>
    </w:p>
    <w:p w14:paraId="546E037D" w14:textId="77777777" w:rsidR="00546D1F" w:rsidRDefault="00546D1F">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1B88AB81"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conformidad con lo anterior, las entidades estatales podrán suscribir contratos de prestación de servicios profesionales y/o de apoyo a la gestión, de acuerdo con la determinación del perfil del personal requerido para satisfacer la necesidad y al cumplimiento de condiciones académicas, profesionales y/o de experiencia desarrollada en virtud de la ejecución de contratos anteriores. </w:t>
      </w:r>
    </w:p>
    <w:p w14:paraId="65282637"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504EE837"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Con respecto a la modalidad de selección para la escogencia del contratista, el literal h), numeral cuarto del artículo 2º de la Ley 1150 de 2007, estableció que la CONTRATACIÓN DIRECTA es aplicable </w:t>
      </w:r>
      <w:r>
        <w:rPr>
          <w:rFonts w:ascii="Arial" w:eastAsia="Arial" w:hAnsi="Arial" w:cs="Arial"/>
          <w:i/>
          <w:color w:val="000000"/>
          <w:sz w:val="20"/>
          <w:szCs w:val="20"/>
        </w:rPr>
        <w:t xml:space="preserve">“Para la </w:t>
      </w:r>
      <w:r>
        <w:rPr>
          <w:rFonts w:ascii="Arial" w:eastAsia="Arial" w:hAnsi="Arial" w:cs="Arial"/>
          <w:i/>
          <w:color w:val="000000"/>
          <w:sz w:val="20"/>
          <w:szCs w:val="20"/>
        </w:rPr>
        <w:lastRenderedPageBreak/>
        <w:t>prestación de servicios profesionales y de apoyo a la gestión, o para la ejecución de trabajos artísticos que sólo puedan encomendarse a determinadas personas naturales (…)”</w:t>
      </w:r>
      <w:r>
        <w:rPr>
          <w:rFonts w:ascii="Arial" w:eastAsia="Arial" w:hAnsi="Arial" w:cs="Arial"/>
          <w:color w:val="000000"/>
          <w:sz w:val="20"/>
          <w:szCs w:val="20"/>
        </w:rPr>
        <w:t xml:space="preserve">. </w:t>
      </w:r>
    </w:p>
    <w:p w14:paraId="7E2F76D2"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7DEE4541"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este sentido la Secretaría realiza la identificación de la idoneidad y experiencia requerida, la cual debe ser proporcional con el objeto y las necesidades planteadas en el presente estudio previo que justifica la mencionada contratación. </w:t>
      </w:r>
    </w:p>
    <w:p w14:paraId="38E3CF44"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169338E6"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Adicionalmente, el artículo 2.8.4.4.5. del Decreto Nacional 1068 de 2015 estableció: </w:t>
      </w:r>
    </w:p>
    <w:p w14:paraId="28FA9730"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3086D8CA" w14:textId="77777777" w:rsidR="00546D1F" w:rsidRDefault="00000000">
      <w:pPr>
        <w:pBdr>
          <w:top w:val="nil"/>
          <w:left w:val="nil"/>
          <w:bottom w:val="nil"/>
          <w:right w:val="nil"/>
          <w:between w:val="nil"/>
        </w:pBdr>
        <w:spacing w:after="0" w:line="240" w:lineRule="auto"/>
        <w:ind w:left="709" w:right="616"/>
        <w:jc w:val="both"/>
        <w:rPr>
          <w:rFonts w:ascii="Arial" w:eastAsia="Arial" w:hAnsi="Arial" w:cs="Arial"/>
          <w:i/>
          <w:color w:val="000000"/>
          <w:sz w:val="20"/>
          <w:szCs w:val="20"/>
        </w:rPr>
      </w:pPr>
      <w:r>
        <w:rPr>
          <w:rFonts w:ascii="Arial" w:eastAsia="Arial" w:hAnsi="Arial" w:cs="Arial"/>
          <w:i/>
          <w:color w:val="000000"/>
          <w:sz w:val="20"/>
          <w:szCs w:val="20"/>
        </w:rPr>
        <w:t xml:space="preserve">“Los contratos de prestación de servicios con personas naturales o jurídicas, sólo se podrán celebrar cuando no exista personal de planta con capacidad para realizar las actividades que se contratarán. </w:t>
      </w:r>
    </w:p>
    <w:p w14:paraId="40379ABE" w14:textId="77777777" w:rsidR="00546D1F" w:rsidRDefault="00546D1F">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3038514D" w14:textId="77777777" w:rsidR="00546D1F" w:rsidRDefault="00000000">
      <w:pPr>
        <w:ind w:left="709" w:right="616"/>
        <w:jc w:val="both"/>
        <w:rPr>
          <w:rFonts w:ascii="Arial" w:eastAsia="Arial" w:hAnsi="Arial" w:cs="Arial"/>
          <w:i/>
          <w:sz w:val="20"/>
          <w:szCs w:val="20"/>
        </w:rPr>
      </w:pPr>
      <w:r>
        <w:rPr>
          <w:rFonts w:ascii="Arial" w:eastAsia="Arial" w:hAnsi="Arial" w:cs="Arial"/>
          <w:i/>
          <w:sz w:val="20"/>
          <w:szCs w:val="20"/>
        </w:rPr>
        <w:t xml:space="preserve">Se entiende que no existe personal de planta en el respectivo organismo, entidad, ente público o persona jurídica, es imposible atender la actividad con personal de planta, porque de acuerdo con los manuales específicos, no existe personal que pueda desarrollar la actividad para la cual se requiere contratar la prestación del servicio, o cuando el desarrollo de la actividad requiere un grado de especialización que implica la contratación del servicio, o cuando aun existiendo personal en la planta, éste no sea suficiente, la inexistencia de personal suficiente deberá acreditarse por el jefe del respectivo organismo. </w:t>
      </w:r>
    </w:p>
    <w:p w14:paraId="7B93CE7C" w14:textId="77777777" w:rsidR="00546D1F" w:rsidRDefault="0000000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Pr>
          <w:rFonts w:ascii="Arial" w:eastAsia="Arial" w:hAnsi="Arial" w:cs="Arial"/>
          <w:i/>
          <w:color w:val="000000"/>
          <w:sz w:val="20"/>
          <w:szCs w:val="20"/>
        </w:rPr>
        <w:t xml:space="preserve">Tampoco se podrán celebrar estos contratos cuando existan relaciones contractuales vigentes con objeto igual al del contrato que se pretende suscribir, salvo autorización expresa del jefe del respectivo órgano, ente o entidad contratante. Esta autorización estará precedida de la sustentación sobre las especiales características y necesidades técnicas de las contrataciones a realizar”. </w:t>
      </w:r>
    </w:p>
    <w:p w14:paraId="7065713E"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7EB63DA6"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 anterior, se detallará en el documento de Inexistencia, Insuficiencia o falta de capacidad de personal y en la Certificación que hace parte integral del proceso de contratación. </w:t>
      </w:r>
    </w:p>
    <w:p w14:paraId="3067F953"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1FD4ADE9" w14:textId="77777777" w:rsidR="00546D1F" w:rsidRDefault="00000000">
      <w:pPr>
        <w:numPr>
          <w:ilvl w:val="1"/>
          <w:numId w:val="1"/>
        </w:numPr>
        <w:pBdr>
          <w:top w:val="nil"/>
          <w:left w:val="nil"/>
          <w:bottom w:val="nil"/>
          <w:right w:val="nil"/>
          <w:between w:val="nil"/>
        </w:pBdr>
        <w:ind w:right="616"/>
        <w:jc w:val="both"/>
        <w:rPr>
          <w:rFonts w:ascii="Arial" w:eastAsia="Arial" w:hAnsi="Arial" w:cs="Arial"/>
          <w:b/>
          <w:i/>
          <w:color w:val="000000"/>
          <w:sz w:val="20"/>
          <w:szCs w:val="20"/>
        </w:rPr>
      </w:pPr>
      <w:r>
        <w:rPr>
          <w:rFonts w:ascii="Arial" w:eastAsia="Arial" w:hAnsi="Arial" w:cs="Arial"/>
          <w:b/>
          <w:color w:val="000000"/>
          <w:sz w:val="20"/>
          <w:szCs w:val="20"/>
        </w:rPr>
        <w:t>Perspectiva Económica y Comercial</w:t>
      </w:r>
    </w:p>
    <w:p w14:paraId="3D20856F"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 actividad económica está dividida en sectores económicos. Cada sector se refiere a una parte de la actividad económica cuyos elementos tienen características comunes, guardan una unidad y se diferencian de otras agrupaciones. Su división se realiza de acuerdo con los procesos de producción que ocurren al interior de cada uno de ellos. La división de los sectores es la siguiente: 1) Sector primario o sector agropecuario, 2) Sector secundario o sector industrial y 3) Sector terciario o sector de servicios. </w:t>
      </w:r>
    </w:p>
    <w:p w14:paraId="23ABB93C"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0DEDF855"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Si bien los dos primeros sectores producen bienes tangibles, por lo cual son considerados como sectores productivos; el sector servicios se considera no productivo, puesto que no produce bienes tangibles, pero, contribuye a la formación del ingreso nacional y del producto nacional. </w:t>
      </w:r>
    </w:p>
    <w:p w14:paraId="7D5C9DEE"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6523B77C"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Para efectos del análisis, el presente pertenece al macro sector Servicios, Sector actividades profesionales, científicas y técnicas; lo anterior, toda vez que en la prestación de servicios profesionales y de apoyo a la gestión, no se producen bienes materiales, sino que corresponde a aquellos de naturaleza intelectual que </w:t>
      </w:r>
      <w:r>
        <w:rPr>
          <w:rFonts w:ascii="Arial" w:eastAsia="Arial" w:hAnsi="Arial" w:cs="Arial"/>
          <w:color w:val="000000"/>
          <w:sz w:val="20"/>
          <w:szCs w:val="20"/>
        </w:rPr>
        <w:lastRenderedPageBreak/>
        <w:t xml:space="preserve">se requieren para el cumplimiento de funciones de la entidad, los cuales pueden ser provistos por personas naturales o jurídicas que estén en capacidad de ejecutar el objeto del contrato. </w:t>
      </w:r>
    </w:p>
    <w:p w14:paraId="2642EBD6"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705E37C6" w14:textId="77777777" w:rsidR="00546D1F"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 xml:space="preserve">En el mercado laboral los servicios relacionados con actividades profesionales, científicas y técnicas se caracterizan porque son prestados por personas naturales con el apropiado conocimiento y la suficiente experiencia, conforme a las necesidades requeridas por las entidades. Las funciones que cumplen son prestadas en forma presencial o virtual, y su gestión queda plasmada en los diferentes documentos, trabajos e informes que van desarrollando a lo largo de la ejecución de sus contratos. </w:t>
      </w:r>
    </w:p>
    <w:p w14:paraId="698E8842" w14:textId="77777777" w:rsidR="00546D1F" w:rsidRDefault="00000000">
      <w:pPr>
        <w:ind w:right="616"/>
        <w:jc w:val="both"/>
        <w:rPr>
          <w:rFonts w:ascii="Arial" w:eastAsia="Arial" w:hAnsi="Arial" w:cs="Arial"/>
          <w:b/>
          <w:color w:val="000000"/>
          <w:sz w:val="20"/>
          <w:szCs w:val="20"/>
        </w:rPr>
      </w:pPr>
      <w:r>
        <w:rPr>
          <w:rFonts w:ascii="Arial" w:eastAsia="Arial" w:hAnsi="Arial" w:cs="Arial"/>
          <w:b/>
          <w:color w:val="000000"/>
          <w:sz w:val="20"/>
          <w:szCs w:val="20"/>
        </w:rPr>
        <w:t xml:space="preserve">Oferta </w:t>
      </w:r>
    </w:p>
    <w:p w14:paraId="1C0E4A62"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Revisado el mercado laboral, el tipo de servicio requerido por la Entidad es ofrecido por personas naturales idóneas, que cumplen con el perfil solicitado en cuanto a formación académica, experiencia profesional y experiencia específica, y que aplican al servicio de las entidades contratantes su conocimiento y preparación garantizando el óptimo cumplimiento de sus objetos contractuales, dado que la característica principal de este servicio es la experiencia y la idoneidad verificable de la persona para cumplir con las obligaciones contractuales del proceso. </w:t>
      </w:r>
    </w:p>
    <w:p w14:paraId="6B48557C"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5104659D" w14:textId="77777777" w:rsidR="00546D1F"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 xml:space="preserve">En la planta de personal actual no se cuenta con personal suficiente que asuma la ejecución de las actividades propuestas en el objeto de la contratación. </w:t>
      </w:r>
    </w:p>
    <w:p w14:paraId="30BB23B5"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Por tratarse de prestación de servicios profesionales o de apoyo a la gestión, la dinámica de producción recae en la capacidad de los profesionales de cumplir con sus objetos contractuales, y de atender los requerimientos de las áreas de las cuales dependen. </w:t>
      </w:r>
    </w:p>
    <w:p w14:paraId="1655B145"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707E67B9"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Los resultados obtenidos de la ejecución de los contratos quedan plasmados en documentos, informes, actas y demás que se desarrollan a lo largo de la ejecución de los plazos contractuales. </w:t>
      </w:r>
    </w:p>
    <w:p w14:paraId="3C5E253C"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02C74066" w14:textId="77777777" w:rsidR="00546D1F" w:rsidRDefault="00000000">
      <w:pPr>
        <w:ind w:right="49"/>
        <w:jc w:val="both"/>
        <w:rPr>
          <w:rFonts w:ascii="Arial" w:eastAsia="Arial" w:hAnsi="Arial" w:cs="Arial"/>
          <w:color w:val="000000"/>
          <w:sz w:val="20"/>
          <w:szCs w:val="20"/>
        </w:rPr>
      </w:pPr>
      <w:r>
        <w:rPr>
          <w:rFonts w:ascii="Arial" w:eastAsia="Arial" w:hAnsi="Arial" w:cs="Arial"/>
          <w:color w:val="000000"/>
          <w:sz w:val="20"/>
          <w:szCs w:val="20"/>
        </w:rPr>
        <w:t>El servicio se presta de manera personal, sujeto a las condiciones de la tipología contractual, esto es contrato de prestación de servicios, y se verifica con la entrega de los informes establecidos que acrediten el cumplimiento de las obligaciones especiales acordadas entre la Entidad y el contratista.</w:t>
      </w:r>
    </w:p>
    <w:p w14:paraId="30FE351D" w14:textId="77777777" w:rsidR="00546D1F" w:rsidRDefault="00000000">
      <w:pPr>
        <w:numPr>
          <w:ilvl w:val="1"/>
          <w:numId w:val="1"/>
        </w:numPr>
        <w:pBdr>
          <w:top w:val="nil"/>
          <w:left w:val="nil"/>
          <w:bottom w:val="nil"/>
          <w:right w:val="nil"/>
          <w:between w:val="nil"/>
        </w:pBdr>
        <w:ind w:right="49"/>
        <w:jc w:val="both"/>
        <w:rPr>
          <w:rFonts w:ascii="Arial" w:eastAsia="Arial" w:hAnsi="Arial" w:cs="Arial"/>
          <w:b/>
          <w:color w:val="000000"/>
          <w:sz w:val="20"/>
          <w:szCs w:val="20"/>
        </w:rPr>
      </w:pPr>
      <w:r>
        <w:rPr>
          <w:rFonts w:ascii="Arial" w:eastAsia="Arial" w:hAnsi="Arial" w:cs="Arial"/>
          <w:b/>
          <w:color w:val="000000"/>
          <w:sz w:val="20"/>
          <w:szCs w:val="20"/>
        </w:rPr>
        <w:t xml:space="preserve">Aspectos Técnicos </w:t>
      </w:r>
    </w:p>
    <w:p w14:paraId="23486BE3"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atención a la necesidad definida, se requiere la contratación del perfil con la formación y experiencia especificada en el numeral 6 – Criterios para Seleccionar la Oferta o Perfil requerido. Adicionalmente, se estipula atender la necesidad planteada por el plazo definido en el numeral 4.4 – Plazo de Ejecución y por el valor estipulado en 4.2 – Valor estimado del contrato y presupuesto oficial, para el cumplimiento de las obligaciones descritas en el numeral 4.6 – Obligaciones Específicas del presente documento. </w:t>
      </w:r>
    </w:p>
    <w:p w14:paraId="2C5F9F7C"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6B761E7A"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En consecuencia, la contratación de este servicio no está sujeta a requisitos particulares de índole legal, salvo las propias del ejercicio de su actividad; por lo tanto, la determinación del perfil del posible contratista está relacionada con la idoneidad de éste, la cual es avalada por el solicitante de la contratación. </w:t>
      </w:r>
    </w:p>
    <w:p w14:paraId="2D7C24A2"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0E962D80"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Análisis Financiero y Organizacional </w:t>
      </w:r>
    </w:p>
    <w:p w14:paraId="325C4864" w14:textId="77777777" w:rsidR="00546D1F" w:rsidRDefault="00546D1F">
      <w:pPr>
        <w:pBdr>
          <w:top w:val="nil"/>
          <w:left w:val="nil"/>
          <w:bottom w:val="nil"/>
          <w:right w:val="nil"/>
          <w:between w:val="nil"/>
        </w:pBdr>
        <w:spacing w:after="0" w:line="240" w:lineRule="auto"/>
        <w:jc w:val="both"/>
        <w:rPr>
          <w:rFonts w:ascii="Arial" w:eastAsia="Arial" w:hAnsi="Arial" w:cs="Arial"/>
          <w:b/>
          <w:color w:val="000000"/>
          <w:sz w:val="20"/>
          <w:szCs w:val="20"/>
        </w:rPr>
      </w:pPr>
    </w:p>
    <w:p w14:paraId="1951E358"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El artículo 6 de la Ley 1150 de 2007 modificado por el artículo 221 del Decreto Ley 019 de 2012, señala: </w:t>
      </w:r>
    </w:p>
    <w:p w14:paraId="758B7797"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0277C6C8" w14:textId="77777777" w:rsidR="00546D1F" w:rsidRDefault="00000000">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r>
        <w:rPr>
          <w:rFonts w:ascii="Arial" w:eastAsia="Arial" w:hAnsi="Arial" w:cs="Arial"/>
          <w:i/>
          <w:color w:val="000000"/>
          <w:sz w:val="20"/>
          <w:szCs w:val="20"/>
        </w:rPr>
        <w:t>“(…) De la verificación de las condiciones de los proponentes (…) No se requerirá de este registro, ni de clasificación, en los casos de contratación directa; contratos para la prestación de servicios de salud; contratos de mínima cuantía; enajenación de bienes del Estado; contratos que tengan por objeto la adquisición de productos de origen o destinación agropecuaria que se ofrezcan en bolsas de productos legalmente constituidas; los actos y contratos que tengan por objeto directo las actividades comerciales e industriales propias de las empresas industriales y comerciales del Estado y las sociedades de economía mixta y los contratos de concesión de cualquier índole. En los casos anteriormente señalados, corresponderá a las entidades contratantes cumplir con la labor de verificación de las condiciones de los proponentes (…)”</w:t>
      </w:r>
      <w:r>
        <w:rPr>
          <w:rFonts w:ascii="Arial" w:eastAsia="Arial" w:hAnsi="Arial" w:cs="Arial"/>
          <w:color w:val="000000"/>
          <w:sz w:val="20"/>
          <w:szCs w:val="20"/>
        </w:rPr>
        <w:t xml:space="preserve">. </w:t>
      </w:r>
    </w:p>
    <w:p w14:paraId="4811A1ED" w14:textId="77777777" w:rsidR="00546D1F" w:rsidRDefault="00546D1F">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677DCE93"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Por lo tanto, para el presente proceso no se requiere Registro Único de Proponentes, ni determinar capacidad financiera y de organización.</w:t>
      </w:r>
    </w:p>
    <w:p w14:paraId="606AC733"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7B68DBA5"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Análisis de la Demanda </w:t>
      </w:r>
    </w:p>
    <w:p w14:paraId="00BF4D45" w14:textId="77777777" w:rsidR="00546D1F" w:rsidRDefault="00546D1F">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4603FB00"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Una vez verificadas las contrataciones previas de la Secretaria Distrital de Ambiente, se evidencia que en los últimos años se ha suplido la falta de personal de planta para el desarrollo especifico de estas actividades, mediante la contratación personas naturales que ejecutaron obligaciones contractuales similares a las del estudio previo que acompaña el presente proceso, y que han sido vinculados bajo la modalidad de contratación directa a través de contratos de prestación de servicios profesionales y/o de apoyo a la gestión. </w:t>
      </w:r>
    </w:p>
    <w:p w14:paraId="21C10BEA" w14:textId="77777777" w:rsidR="00546D1F" w:rsidRDefault="00546D1F">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05F2D7F1" w14:textId="77777777" w:rsidR="00546D1F"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CRITERIOS PARA SELECCIONAR LA OFERTA O PERFIL REQUERIDO</w:t>
      </w:r>
    </w:p>
    <w:p w14:paraId="5052FA69" w14:textId="77777777" w:rsidR="00546D1F" w:rsidRDefault="00546D1F">
      <w:pPr>
        <w:pBdr>
          <w:top w:val="nil"/>
          <w:left w:val="nil"/>
          <w:bottom w:val="nil"/>
          <w:right w:val="nil"/>
          <w:between w:val="nil"/>
        </w:pBdr>
        <w:spacing w:after="0" w:line="240" w:lineRule="auto"/>
        <w:jc w:val="center"/>
        <w:rPr>
          <w:rFonts w:ascii="Arial" w:eastAsia="Arial" w:hAnsi="Arial" w:cs="Arial"/>
          <w:b/>
          <w:color w:val="000000"/>
          <w:sz w:val="20"/>
          <w:szCs w:val="20"/>
        </w:rPr>
      </w:pPr>
    </w:p>
    <w:p w14:paraId="1A5D8163" w14:textId="5EDA65F5"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Teniendo en cuenta que la modalidad de selección es la de Contratación Directa de conformidad con lo señalado en el artículo 2.2.1.2.1.4.9 del Decreto Nacional 1082 de 2015, no se utilizan criterios de selección, toda vez que se contrata a la persona natural o jurídica que está en capacidad de ejecutar el objeto del contrato, en atención a su idoneidad y experiencia, se requiere entonces que </w:t>
      </w:r>
      <w:r w:rsidR="00FB43D9">
        <w:rPr>
          <w:rFonts w:ascii="Arial" w:eastAsia="Arial" w:hAnsi="Arial" w:cs="Arial"/>
          <w:color w:val="000000"/>
          <w:sz w:val="20"/>
          <w:szCs w:val="20"/>
        </w:rPr>
        <w:t>la persona</w:t>
      </w:r>
      <w:r>
        <w:rPr>
          <w:rFonts w:ascii="Arial" w:eastAsia="Arial" w:hAnsi="Arial" w:cs="Arial"/>
          <w:color w:val="000000"/>
          <w:sz w:val="20"/>
          <w:szCs w:val="20"/>
        </w:rPr>
        <w:t xml:space="preserve"> a contratar cumpla con el siguiente perfil: </w:t>
      </w:r>
    </w:p>
    <w:p w14:paraId="10397461"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073276AC" w14:textId="393BC0D4"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Por tratarse de un contrato de prestación de servicios profesionales de conformidad con lo establecido en la normativa vigente, se podrá contratar directamente para lo cual el candidato demostrará que está en capacidad de ejecutar el objeto del contrato y que posee la idoneidad y experiencia </w:t>
      </w:r>
      <w:r w:rsidR="00FB43D9">
        <w:rPr>
          <w:rFonts w:ascii="Arial" w:eastAsia="Arial" w:hAnsi="Arial" w:cs="Arial"/>
          <w:color w:val="000000"/>
          <w:sz w:val="20"/>
          <w:szCs w:val="20"/>
        </w:rPr>
        <w:t>relacionada</w:t>
      </w:r>
      <w:r>
        <w:rPr>
          <w:rFonts w:ascii="Arial" w:eastAsia="Arial" w:hAnsi="Arial" w:cs="Arial"/>
          <w:color w:val="000000"/>
          <w:sz w:val="20"/>
          <w:szCs w:val="20"/>
        </w:rPr>
        <w:t xml:space="preserve">, mediante la acreditación de las condiciones de formación académica y experiencia señaladas a continuación, de conformidad con lo dispuesto en la circular vigente, por la cual se adopta la resolución de honorarios de la Entidad. </w:t>
      </w:r>
    </w:p>
    <w:p w14:paraId="35FF5843"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1FE9C986"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Formación-Idoneidad</w:t>
      </w:r>
    </w:p>
    <w:p w14:paraId="66E4E295" w14:textId="77777777" w:rsidR="00546D1F" w:rsidRDefault="00546D1F">
      <w:pPr>
        <w:pBdr>
          <w:top w:val="nil"/>
          <w:left w:val="nil"/>
          <w:bottom w:val="nil"/>
          <w:right w:val="nil"/>
          <w:between w:val="nil"/>
        </w:pBdr>
        <w:spacing w:after="0" w:line="240" w:lineRule="auto"/>
        <w:jc w:val="both"/>
        <w:rPr>
          <w:rFonts w:ascii="Arial" w:eastAsia="Arial" w:hAnsi="Arial" w:cs="Arial"/>
          <w:b/>
          <w:color w:val="000000"/>
          <w:sz w:val="20"/>
          <w:szCs w:val="20"/>
        </w:rPr>
      </w:pPr>
    </w:p>
    <w:p w14:paraId="75D56437"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40261773" w14:textId="5C45E329" w:rsidR="00546D1F" w:rsidRDefault="00000000">
      <w:pPr>
        <w:pBdr>
          <w:top w:val="nil"/>
          <w:left w:val="nil"/>
          <w:bottom w:val="nil"/>
          <w:right w:val="nil"/>
          <w:between w:val="nil"/>
        </w:pBdr>
        <w:spacing w:after="0" w:line="240" w:lineRule="auto"/>
        <w:jc w:val="both"/>
        <w:rPr>
          <w:rFonts w:ascii="Arial" w:eastAsia="Arial" w:hAnsi="Arial" w:cs="Arial"/>
          <w:sz w:val="20"/>
          <w:szCs w:val="20"/>
        </w:rPr>
      </w:pPr>
      <w:r>
        <w:rPr>
          <w:rFonts w:ascii="Arial" w:eastAsia="Arial" w:hAnsi="Arial" w:cs="Arial"/>
          <w:color w:val="000000"/>
          <w:sz w:val="20"/>
          <w:szCs w:val="20"/>
        </w:rPr>
        <w:t xml:space="preserve">Título Profesional en Ingeniería Ambiental, Ingeniería en Recursos Hídricos y Gestión Ambiental. Con título de postgrado en la modalidad de Especialización </w:t>
      </w:r>
      <w:r>
        <w:rPr>
          <w:rFonts w:ascii="Arial" w:eastAsia="Arial" w:hAnsi="Arial" w:cs="Arial"/>
          <w:sz w:val="20"/>
          <w:szCs w:val="20"/>
        </w:rPr>
        <w:t xml:space="preserve">o su equivalente </w:t>
      </w:r>
      <w:r>
        <w:rPr>
          <w:rFonts w:ascii="Arial" w:eastAsia="Arial" w:hAnsi="Arial" w:cs="Arial"/>
          <w:color w:val="000000"/>
          <w:sz w:val="20"/>
          <w:szCs w:val="20"/>
        </w:rPr>
        <w:t xml:space="preserve"> y tarjeta profesional vigente (en los </w:t>
      </w:r>
      <w:r>
        <w:rPr>
          <w:rFonts w:ascii="Arial" w:eastAsia="Arial" w:hAnsi="Arial" w:cs="Arial"/>
          <w:color w:val="000000"/>
          <w:sz w:val="20"/>
          <w:szCs w:val="20"/>
        </w:rPr>
        <w:lastRenderedPageBreak/>
        <w:t xml:space="preserve">casos que aplique) </w:t>
      </w:r>
      <w:r>
        <w:rPr>
          <w:rFonts w:ascii="Arial" w:eastAsia="Arial" w:hAnsi="Arial" w:cs="Arial"/>
          <w:sz w:val="20"/>
          <w:szCs w:val="20"/>
        </w:rPr>
        <w:t>Según lo establecido en la Tabla de Honorarios de Contratos de Prestación de Servicios Profesionales y de Apoyo a la Gestión, Resolución 02227 del 29 de diciembre de 2024 de la SDA</w:t>
      </w:r>
      <w:r w:rsidR="00FB43D9">
        <w:rPr>
          <w:rFonts w:ascii="Arial" w:eastAsia="Arial" w:hAnsi="Arial" w:cs="Arial"/>
          <w:sz w:val="20"/>
          <w:szCs w:val="20"/>
        </w:rPr>
        <w:t>.</w:t>
      </w:r>
    </w:p>
    <w:p w14:paraId="105E5FC3" w14:textId="77777777" w:rsidR="00546D1F" w:rsidRDefault="00546D1F">
      <w:pPr>
        <w:pBdr>
          <w:top w:val="nil"/>
          <w:left w:val="nil"/>
          <w:bottom w:val="nil"/>
          <w:right w:val="nil"/>
          <w:between w:val="nil"/>
        </w:pBdr>
        <w:spacing w:after="0" w:line="240" w:lineRule="auto"/>
        <w:jc w:val="both"/>
        <w:rPr>
          <w:rFonts w:ascii="Arial" w:eastAsia="Arial" w:hAnsi="Arial" w:cs="Arial"/>
          <w:color w:val="A6A6A6"/>
          <w:sz w:val="20"/>
          <w:szCs w:val="20"/>
        </w:rPr>
      </w:pPr>
    </w:p>
    <w:p w14:paraId="0F8C6C2C" w14:textId="77777777" w:rsidR="00546D1F" w:rsidRDefault="00546D1F">
      <w:pPr>
        <w:pBdr>
          <w:top w:val="nil"/>
          <w:left w:val="nil"/>
          <w:bottom w:val="nil"/>
          <w:right w:val="nil"/>
          <w:between w:val="nil"/>
        </w:pBdr>
        <w:spacing w:after="0" w:line="240" w:lineRule="auto"/>
        <w:jc w:val="both"/>
        <w:rPr>
          <w:rFonts w:ascii="Arial" w:eastAsia="Arial" w:hAnsi="Arial" w:cs="Arial"/>
          <w:color w:val="FF0000"/>
          <w:sz w:val="20"/>
          <w:szCs w:val="20"/>
        </w:rPr>
      </w:pPr>
    </w:p>
    <w:p w14:paraId="191E8D88" w14:textId="77777777" w:rsidR="00546D1F" w:rsidRDefault="00000000">
      <w:pPr>
        <w:numPr>
          <w:ilvl w:val="1"/>
          <w:numId w:val="1"/>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Experiencia </w:t>
      </w:r>
    </w:p>
    <w:p w14:paraId="44286110" w14:textId="77777777" w:rsidR="00546D1F" w:rsidRDefault="00546D1F">
      <w:pPr>
        <w:spacing w:after="0" w:line="240" w:lineRule="auto"/>
        <w:rPr>
          <w:rFonts w:ascii="Arial Narrow" w:eastAsia="Arial Narrow" w:hAnsi="Arial Narrow" w:cs="Arial Narrow"/>
          <w:i/>
          <w:sz w:val="18"/>
          <w:szCs w:val="18"/>
        </w:rPr>
      </w:pPr>
    </w:p>
    <w:p w14:paraId="5C2087AA" w14:textId="60861CA6" w:rsidR="00546D1F" w:rsidRDefault="00000000">
      <w:pPr>
        <w:spacing w:after="0" w:line="240" w:lineRule="auto"/>
        <w:rPr>
          <w:rFonts w:ascii="Arial" w:eastAsia="Arial" w:hAnsi="Arial" w:cs="Arial"/>
          <w:color w:val="000000"/>
          <w:sz w:val="20"/>
          <w:szCs w:val="20"/>
          <w:highlight w:val="white"/>
        </w:rPr>
      </w:pPr>
      <w:r>
        <w:rPr>
          <w:rFonts w:ascii="Arial" w:eastAsia="Arial" w:hAnsi="Arial" w:cs="Arial"/>
          <w:color w:val="000000"/>
          <w:sz w:val="20"/>
          <w:szCs w:val="20"/>
          <w:highlight w:val="white"/>
        </w:rPr>
        <w:t>Mínimo 66 meses de experiencia</w:t>
      </w:r>
      <w:r w:rsidR="00FB43D9">
        <w:rPr>
          <w:rFonts w:ascii="Arial" w:eastAsia="Arial" w:hAnsi="Arial" w:cs="Arial"/>
          <w:color w:val="000000"/>
          <w:sz w:val="20"/>
          <w:szCs w:val="20"/>
          <w:highlight w:val="white"/>
        </w:rPr>
        <w:t xml:space="preserve"> relacionada.</w:t>
      </w:r>
    </w:p>
    <w:p w14:paraId="67017154" w14:textId="77777777" w:rsidR="00546D1F" w:rsidRDefault="00546D1F">
      <w:pPr>
        <w:spacing w:after="0" w:line="240" w:lineRule="auto"/>
        <w:rPr>
          <w:rFonts w:ascii="Arial Narrow" w:eastAsia="Arial Narrow" w:hAnsi="Arial Narrow" w:cs="Arial Narrow"/>
          <w:i/>
          <w:sz w:val="18"/>
          <w:szCs w:val="18"/>
        </w:rPr>
      </w:pPr>
    </w:p>
    <w:p w14:paraId="3D6584EC" w14:textId="77777777" w:rsidR="00546D1F" w:rsidRDefault="00546D1F">
      <w:pPr>
        <w:spacing w:after="0" w:line="240" w:lineRule="auto"/>
        <w:rPr>
          <w:rFonts w:ascii="Arial Narrow" w:eastAsia="Arial Narrow" w:hAnsi="Arial Narrow" w:cs="Arial Narrow"/>
          <w:i/>
          <w:sz w:val="18"/>
          <w:szCs w:val="18"/>
        </w:rPr>
      </w:pPr>
    </w:p>
    <w:p w14:paraId="7AA930AA" w14:textId="77777777" w:rsidR="00546D1F" w:rsidRDefault="00546D1F">
      <w:pPr>
        <w:spacing w:after="0" w:line="240" w:lineRule="auto"/>
        <w:rPr>
          <w:rFonts w:ascii="Arial Narrow" w:eastAsia="Arial Narrow" w:hAnsi="Arial Narrow" w:cs="Arial Narrow"/>
          <w:i/>
          <w:sz w:val="18"/>
          <w:szCs w:val="18"/>
        </w:rPr>
      </w:pPr>
    </w:p>
    <w:p w14:paraId="47BCEF48" w14:textId="77777777" w:rsidR="00546D1F" w:rsidRDefault="00546D1F">
      <w:pPr>
        <w:spacing w:after="0" w:line="240" w:lineRule="auto"/>
        <w:rPr>
          <w:rFonts w:ascii="Arial Narrow" w:eastAsia="Arial Narrow" w:hAnsi="Arial Narrow" w:cs="Arial Narrow"/>
          <w:i/>
          <w:sz w:val="18"/>
          <w:szCs w:val="18"/>
        </w:rPr>
      </w:pPr>
    </w:p>
    <w:p w14:paraId="36346ADC" w14:textId="77777777" w:rsidR="00546D1F"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SUPERVISION</w:t>
      </w:r>
    </w:p>
    <w:p w14:paraId="13F43B43" w14:textId="77777777" w:rsidR="00546D1F" w:rsidRDefault="00546D1F">
      <w:pPr>
        <w:pBdr>
          <w:top w:val="nil"/>
          <w:left w:val="nil"/>
          <w:bottom w:val="nil"/>
          <w:right w:val="nil"/>
          <w:between w:val="nil"/>
        </w:pBdr>
        <w:spacing w:after="0" w:line="240" w:lineRule="auto"/>
        <w:ind w:left="720"/>
        <w:rPr>
          <w:rFonts w:ascii="Arial" w:eastAsia="Arial" w:hAnsi="Arial" w:cs="Arial"/>
          <w:b/>
          <w:color w:val="000000"/>
          <w:sz w:val="20"/>
          <w:szCs w:val="20"/>
        </w:rPr>
      </w:pPr>
    </w:p>
    <w:p w14:paraId="1B923BCE"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La supervisión del contrato será ejercida por el </w:t>
      </w:r>
      <w:r>
        <w:rPr>
          <w:rFonts w:ascii="Arial" w:eastAsia="Arial" w:hAnsi="Arial" w:cs="Arial"/>
          <w:b/>
          <w:color w:val="000000"/>
          <w:sz w:val="20"/>
          <w:szCs w:val="20"/>
        </w:rPr>
        <w:t>Director</w:t>
      </w:r>
      <w:r>
        <w:rPr>
          <w:rFonts w:ascii="Arial" w:eastAsia="Arial" w:hAnsi="Arial" w:cs="Arial"/>
          <w:b/>
          <w:sz w:val="20"/>
          <w:szCs w:val="20"/>
        </w:rPr>
        <w:t xml:space="preserve"> (a)</w:t>
      </w:r>
      <w:r>
        <w:rPr>
          <w:rFonts w:ascii="Arial" w:eastAsia="Arial" w:hAnsi="Arial" w:cs="Arial"/>
          <w:b/>
          <w:color w:val="000000"/>
          <w:sz w:val="20"/>
          <w:szCs w:val="20"/>
        </w:rPr>
        <w:t xml:space="preserve"> de Gestión Ambiental</w:t>
      </w:r>
      <w:r>
        <w:rPr>
          <w:rFonts w:ascii="Arial" w:eastAsia="Arial" w:hAnsi="Arial" w:cs="Arial"/>
          <w:color w:val="A6A6A6"/>
          <w:sz w:val="20"/>
          <w:szCs w:val="20"/>
        </w:rPr>
        <w:t xml:space="preserve"> </w:t>
      </w:r>
      <w:r>
        <w:rPr>
          <w:rFonts w:ascii="Arial" w:eastAsia="Arial" w:hAnsi="Arial" w:cs="Arial"/>
          <w:color w:val="000000"/>
          <w:sz w:val="20"/>
          <w:szCs w:val="20"/>
        </w:rPr>
        <w:t>designado para tal fin, que por sus calidades profesionales y/o técnicas brinde el soporte correspondiente. El supervisor ejercerá sus obligaciones conforme a lo señalado en la Ley 80 de 1993, Ley 1150 de 2007, Ley 1474 de 2011, demás normas que las modifiquen adicionen o reglamenten, así como las disposiciones establecidas en el Manual de Supervisión e Interventoría de la SDA. En todo caso el Ordenador del Gasto podrá variar unilateralmente la designación del supervisor, comunicando su decisión por escrito al CONTRATISTA, al Supervisor removido y a la Subdirección Contractual.</w:t>
      </w:r>
    </w:p>
    <w:p w14:paraId="540D05BB"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12A1C41B"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62ED0C3C" w14:textId="77777777" w:rsidR="00546D1F"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TIPIFICACION, CUANTIFICACION Y ASIGNACION DE RIESGOS PREVISBLES, NO ASEGURABLES</w:t>
      </w:r>
    </w:p>
    <w:p w14:paraId="3AFB3E20" w14:textId="77777777" w:rsidR="00546D1F" w:rsidRDefault="00546D1F">
      <w:pPr>
        <w:pBdr>
          <w:top w:val="nil"/>
          <w:left w:val="nil"/>
          <w:bottom w:val="nil"/>
          <w:right w:val="nil"/>
          <w:between w:val="nil"/>
        </w:pBdr>
        <w:spacing w:after="0" w:line="240" w:lineRule="auto"/>
        <w:jc w:val="center"/>
        <w:rPr>
          <w:rFonts w:ascii="Arial" w:eastAsia="Arial" w:hAnsi="Arial" w:cs="Arial"/>
          <w:b/>
          <w:color w:val="000000"/>
          <w:sz w:val="20"/>
          <w:szCs w:val="20"/>
        </w:rPr>
      </w:pPr>
    </w:p>
    <w:p w14:paraId="538B33C8"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De conformidad con el artículo 4 de la Ley 1150 de 2007, y el artículo 2.2.1.1.1.6.3 del Decreto Nacional 1082 de 2015 en concordancia con lo establecido en el “Manual para la Identificación y Cobertura del Riesgo en los Procesos de Contratación M-ICR-01” de Colombia Compra Eficiente, la tipificación, asignación y estimación de los riesgos previsibles en la contratación, la cual se encuentran contenida en el formato tabla de estimación y asignación de riesgos que hacen parte integral del contrato a celebrar.</w:t>
      </w:r>
    </w:p>
    <w:p w14:paraId="1E4E578D"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20"/>
          <w:szCs w:val="20"/>
        </w:rPr>
      </w:pPr>
    </w:p>
    <w:p w14:paraId="3E81722C" w14:textId="77777777" w:rsidR="00546D1F" w:rsidRDefault="00000000">
      <w:pPr>
        <w:numPr>
          <w:ilvl w:val="0"/>
          <w:numId w:val="1"/>
        </w:numPr>
        <w:pBdr>
          <w:top w:val="nil"/>
          <w:left w:val="nil"/>
          <w:bottom w:val="nil"/>
          <w:right w:val="nil"/>
          <w:between w:val="nil"/>
        </w:pBdr>
        <w:spacing w:after="0" w:line="240" w:lineRule="auto"/>
        <w:jc w:val="center"/>
        <w:rPr>
          <w:rFonts w:ascii="Arial" w:eastAsia="Arial" w:hAnsi="Arial" w:cs="Arial"/>
          <w:b/>
          <w:color w:val="000000"/>
          <w:sz w:val="20"/>
          <w:szCs w:val="20"/>
        </w:rPr>
      </w:pPr>
      <w:r>
        <w:rPr>
          <w:rFonts w:ascii="Arial" w:eastAsia="Arial" w:hAnsi="Arial" w:cs="Arial"/>
          <w:b/>
          <w:color w:val="000000"/>
          <w:sz w:val="20"/>
          <w:szCs w:val="20"/>
        </w:rPr>
        <w:t>INDICACION DE LAS COBERTUTAS DE LOS RIESGOS ASEGURABLES</w:t>
      </w:r>
    </w:p>
    <w:p w14:paraId="0705D36F" w14:textId="77777777" w:rsidR="00546D1F" w:rsidRDefault="00546D1F">
      <w:pPr>
        <w:pBdr>
          <w:top w:val="nil"/>
          <w:left w:val="nil"/>
          <w:bottom w:val="nil"/>
          <w:right w:val="nil"/>
          <w:between w:val="nil"/>
        </w:pBdr>
        <w:spacing w:after="0" w:line="240" w:lineRule="auto"/>
        <w:jc w:val="center"/>
        <w:rPr>
          <w:rFonts w:ascii="Arial" w:eastAsia="Arial" w:hAnsi="Arial" w:cs="Arial"/>
          <w:b/>
          <w:color w:val="000000"/>
          <w:sz w:val="20"/>
          <w:szCs w:val="20"/>
        </w:rPr>
      </w:pPr>
    </w:p>
    <w:p w14:paraId="058D0DD0"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De acuerdo con lo establecido en el artículo 7 de la Ley 1150 de 2007, el numeral 7 del artículo 2.2.1.1.2.1.1 y el Libro 2, Parte 2 Capítulo I, Sección 3 del Decreto Nacional 1082 de 2015, el (la) contratista deberá constituir un mecanismo de cobertura del riesgo que cubra el siguiente amparo: </w:t>
      </w:r>
    </w:p>
    <w:p w14:paraId="0F5798CA" w14:textId="77777777" w:rsidR="00546D1F" w:rsidRDefault="00546D1F">
      <w:pPr>
        <w:pBdr>
          <w:top w:val="nil"/>
          <w:left w:val="nil"/>
          <w:bottom w:val="nil"/>
          <w:right w:val="nil"/>
          <w:between w:val="nil"/>
        </w:pBdr>
        <w:spacing w:after="0" w:line="240" w:lineRule="auto"/>
        <w:jc w:val="center"/>
        <w:rPr>
          <w:rFonts w:ascii="Arial" w:eastAsia="Arial" w:hAnsi="Arial" w:cs="Arial"/>
          <w:color w:val="000000"/>
          <w:sz w:val="20"/>
          <w:szCs w:val="20"/>
        </w:rPr>
      </w:pPr>
    </w:p>
    <w:tbl>
      <w:tblPr>
        <w:tblStyle w:val="a0"/>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7"/>
        <w:gridCol w:w="2207"/>
        <w:gridCol w:w="2207"/>
        <w:gridCol w:w="2730"/>
      </w:tblGrid>
      <w:tr w:rsidR="00546D1F" w14:paraId="19E5AB68" w14:textId="77777777">
        <w:tc>
          <w:tcPr>
            <w:tcW w:w="2207" w:type="dxa"/>
            <w:shd w:val="clear" w:color="auto" w:fill="D9D9D9"/>
          </w:tcPr>
          <w:p w14:paraId="2E8D4803" w14:textId="77777777" w:rsidR="00546D1F" w:rsidRDefault="00000000">
            <w:pPr>
              <w:widowControl/>
              <w:pBdr>
                <w:top w:val="nil"/>
                <w:left w:val="nil"/>
                <w:bottom w:val="nil"/>
                <w:right w:val="nil"/>
                <w:between w:val="nil"/>
              </w:pBdr>
              <w:jc w:val="center"/>
              <w:rPr>
                <w:rFonts w:ascii="Arial" w:eastAsia="Arial" w:hAnsi="Arial" w:cs="Arial"/>
                <w:b/>
                <w:color w:val="000000"/>
                <w:sz w:val="20"/>
                <w:szCs w:val="20"/>
              </w:rPr>
            </w:pPr>
            <w:proofErr w:type="spellStart"/>
            <w:r>
              <w:rPr>
                <w:rFonts w:ascii="Arial" w:eastAsia="Arial" w:hAnsi="Arial" w:cs="Arial"/>
                <w:b/>
                <w:color w:val="000000"/>
                <w:sz w:val="20"/>
                <w:szCs w:val="20"/>
              </w:rPr>
              <w:t>Riesgo</w:t>
            </w:r>
            <w:proofErr w:type="spellEnd"/>
          </w:p>
        </w:tc>
        <w:tc>
          <w:tcPr>
            <w:tcW w:w="2207" w:type="dxa"/>
            <w:shd w:val="clear" w:color="auto" w:fill="D9D9D9"/>
          </w:tcPr>
          <w:p w14:paraId="7D1071A1" w14:textId="77777777" w:rsidR="00546D1F" w:rsidRDefault="00000000">
            <w:pPr>
              <w:widowControl/>
              <w:pBdr>
                <w:top w:val="nil"/>
                <w:left w:val="nil"/>
                <w:bottom w:val="nil"/>
                <w:right w:val="nil"/>
                <w:between w:val="nil"/>
              </w:pBdr>
              <w:jc w:val="center"/>
              <w:rPr>
                <w:rFonts w:ascii="Arial" w:eastAsia="Arial" w:hAnsi="Arial" w:cs="Arial"/>
                <w:b/>
                <w:color w:val="000000"/>
                <w:sz w:val="20"/>
                <w:szCs w:val="20"/>
              </w:rPr>
            </w:pPr>
            <w:proofErr w:type="spellStart"/>
            <w:r>
              <w:rPr>
                <w:rFonts w:ascii="Arial" w:eastAsia="Arial" w:hAnsi="Arial" w:cs="Arial"/>
                <w:b/>
                <w:color w:val="000000"/>
                <w:sz w:val="20"/>
                <w:szCs w:val="20"/>
              </w:rPr>
              <w:t>Porcentaje</w:t>
            </w:r>
            <w:proofErr w:type="spellEnd"/>
          </w:p>
        </w:tc>
        <w:tc>
          <w:tcPr>
            <w:tcW w:w="2207" w:type="dxa"/>
            <w:shd w:val="clear" w:color="auto" w:fill="D9D9D9"/>
          </w:tcPr>
          <w:p w14:paraId="7AE425D2" w14:textId="77777777" w:rsidR="00546D1F" w:rsidRDefault="00000000">
            <w:pPr>
              <w:widowControl/>
              <w:pBdr>
                <w:top w:val="nil"/>
                <w:left w:val="nil"/>
                <w:bottom w:val="nil"/>
                <w:right w:val="nil"/>
                <w:between w:val="nil"/>
              </w:pBdr>
              <w:jc w:val="center"/>
              <w:rPr>
                <w:rFonts w:ascii="Arial" w:eastAsia="Arial" w:hAnsi="Arial" w:cs="Arial"/>
                <w:b/>
                <w:color w:val="000000"/>
                <w:sz w:val="20"/>
                <w:szCs w:val="20"/>
              </w:rPr>
            </w:pPr>
            <w:proofErr w:type="spellStart"/>
            <w:r>
              <w:rPr>
                <w:rFonts w:ascii="Arial" w:eastAsia="Arial" w:hAnsi="Arial" w:cs="Arial"/>
                <w:b/>
                <w:color w:val="000000"/>
                <w:sz w:val="20"/>
                <w:szCs w:val="20"/>
              </w:rPr>
              <w:t>Sobe</w:t>
            </w:r>
            <w:proofErr w:type="spellEnd"/>
            <w:r>
              <w:rPr>
                <w:rFonts w:ascii="Arial" w:eastAsia="Arial" w:hAnsi="Arial" w:cs="Arial"/>
                <w:b/>
                <w:color w:val="000000"/>
                <w:sz w:val="20"/>
                <w:szCs w:val="20"/>
              </w:rPr>
              <w:t xml:space="preserve"> </w:t>
            </w:r>
            <w:proofErr w:type="spellStart"/>
            <w:r>
              <w:rPr>
                <w:rFonts w:ascii="Arial" w:eastAsia="Arial" w:hAnsi="Arial" w:cs="Arial"/>
                <w:b/>
                <w:color w:val="000000"/>
                <w:sz w:val="20"/>
                <w:szCs w:val="20"/>
              </w:rPr>
              <w:t>el</w:t>
            </w:r>
            <w:proofErr w:type="spellEnd"/>
            <w:r>
              <w:rPr>
                <w:rFonts w:ascii="Arial" w:eastAsia="Arial" w:hAnsi="Arial" w:cs="Arial"/>
                <w:b/>
                <w:color w:val="000000"/>
                <w:sz w:val="20"/>
                <w:szCs w:val="20"/>
              </w:rPr>
              <w:t xml:space="preserve"> valor</w:t>
            </w:r>
          </w:p>
        </w:tc>
        <w:tc>
          <w:tcPr>
            <w:tcW w:w="2730" w:type="dxa"/>
            <w:shd w:val="clear" w:color="auto" w:fill="D9D9D9"/>
          </w:tcPr>
          <w:p w14:paraId="1D8BDE8E" w14:textId="77777777" w:rsidR="00546D1F" w:rsidRDefault="00000000">
            <w:pPr>
              <w:widowControl/>
              <w:pBdr>
                <w:top w:val="nil"/>
                <w:left w:val="nil"/>
                <w:bottom w:val="nil"/>
                <w:right w:val="nil"/>
                <w:between w:val="nil"/>
              </w:pBdr>
              <w:jc w:val="center"/>
              <w:rPr>
                <w:rFonts w:ascii="Arial" w:eastAsia="Arial" w:hAnsi="Arial" w:cs="Arial"/>
                <w:b/>
                <w:color w:val="000000"/>
                <w:sz w:val="20"/>
                <w:szCs w:val="20"/>
              </w:rPr>
            </w:pPr>
            <w:proofErr w:type="spellStart"/>
            <w:r>
              <w:rPr>
                <w:rFonts w:ascii="Arial" w:eastAsia="Arial" w:hAnsi="Arial" w:cs="Arial"/>
                <w:b/>
                <w:color w:val="000000"/>
                <w:sz w:val="20"/>
                <w:szCs w:val="20"/>
              </w:rPr>
              <w:t>Vigencia</w:t>
            </w:r>
            <w:proofErr w:type="spellEnd"/>
          </w:p>
        </w:tc>
      </w:tr>
      <w:tr w:rsidR="00546D1F" w14:paraId="0939E1E9" w14:textId="77777777">
        <w:tc>
          <w:tcPr>
            <w:tcW w:w="2207" w:type="dxa"/>
          </w:tcPr>
          <w:p w14:paraId="1AED62A4" w14:textId="77777777" w:rsidR="00546D1F" w:rsidRDefault="00000000">
            <w:pPr>
              <w:widowControl/>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CUMPLIMIENTO</w:t>
            </w:r>
          </w:p>
        </w:tc>
        <w:tc>
          <w:tcPr>
            <w:tcW w:w="2207" w:type="dxa"/>
          </w:tcPr>
          <w:p w14:paraId="1FEDE75A" w14:textId="77777777" w:rsidR="00546D1F" w:rsidRDefault="00000000">
            <w:pPr>
              <w:widowControl/>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20%</w:t>
            </w:r>
          </w:p>
        </w:tc>
        <w:tc>
          <w:tcPr>
            <w:tcW w:w="2207" w:type="dxa"/>
          </w:tcPr>
          <w:p w14:paraId="04D11CE6" w14:textId="77777777" w:rsidR="00546D1F" w:rsidRPr="00A7633C" w:rsidRDefault="00000000">
            <w:pPr>
              <w:widowControl/>
              <w:pBdr>
                <w:top w:val="nil"/>
                <w:left w:val="nil"/>
                <w:bottom w:val="nil"/>
                <w:right w:val="nil"/>
                <w:between w:val="nil"/>
              </w:pBdr>
              <w:jc w:val="center"/>
              <w:rPr>
                <w:rFonts w:ascii="Arial" w:eastAsia="Arial" w:hAnsi="Arial" w:cs="Arial"/>
                <w:color w:val="000000"/>
                <w:sz w:val="20"/>
                <w:szCs w:val="20"/>
                <w:lang w:val="es-CO"/>
              </w:rPr>
            </w:pPr>
            <w:r w:rsidRPr="00A7633C">
              <w:rPr>
                <w:rFonts w:ascii="Arial" w:eastAsia="Arial" w:hAnsi="Arial" w:cs="Arial"/>
                <w:color w:val="000000"/>
                <w:sz w:val="20"/>
                <w:szCs w:val="20"/>
                <w:lang w:val="es-CO"/>
              </w:rPr>
              <w:t>El valor total del contrato</w:t>
            </w:r>
          </w:p>
        </w:tc>
        <w:tc>
          <w:tcPr>
            <w:tcW w:w="2730" w:type="dxa"/>
          </w:tcPr>
          <w:p w14:paraId="654E55AE" w14:textId="77777777" w:rsidR="00546D1F" w:rsidRPr="00A7633C" w:rsidRDefault="00000000">
            <w:pPr>
              <w:widowControl/>
              <w:pBdr>
                <w:top w:val="nil"/>
                <w:left w:val="nil"/>
                <w:bottom w:val="nil"/>
                <w:right w:val="nil"/>
                <w:between w:val="nil"/>
              </w:pBdr>
              <w:jc w:val="center"/>
              <w:rPr>
                <w:rFonts w:ascii="Arial" w:eastAsia="Arial" w:hAnsi="Arial" w:cs="Arial"/>
                <w:color w:val="000000"/>
                <w:sz w:val="20"/>
                <w:szCs w:val="20"/>
                <w:lang w:val="es-CO"/>
              </w:rPr>
            </w:pPr>
            <w:r w:rsidRPr="00A7633C">
              <w:rPr>
                <w:rFonts w:ascii="Arial" w:eastAsia="Arial" w:hAnsi="Arial" w:cs="Arial"/>
                <w:color w:val="000000"/>
                <w:sz w:val="20"/>
                <w:szCs w:val="20"/>
                <w:lang w:val="es-CO"/>
              </w:rPr>
              <w:t>Plazo del contrato y seis (6) meses mas</w:t>
            </w:r>
          </w:p>
        </w:tc>
      </w:tr>
    </w:tbl>
    <w:p w14:paraId="0C9C5820"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20"/>
          <w:szCs w:val="20"/>
        </w:rPr>
        <w:t xml:space="preserve"> </w:t>
      </w:r>
    </w:p>
    <w:p w14:paraId="64ED8B1B" w14:textId="77777777" w:rsidR="00546D1F" w:rsidRDefault="00546D1F">
      <w:pPr>
        <w:spacing w:after="0" w:line="240" w:lineRule="auto"/>
        <w:jc w:val="both"/>
        <w:rPr>
          <w:rFonts w:ascii="Arial" w:eastAsia="Arial" w:hAnsi="Arial" w:cs="Arial"/>
          <w:b/>
          <w:i/>
          <w:sz w:val="16"/>
          <w:szCs w:val="16"/>
          <w:u w:val="single"/>
        </w:rPr>
      </w:pPr>
    </w:p>
    <w:p w14:paraId="07FE6F97" w14:textId="77777777" w:rsidR="00546D1F" w:rsidRDefault="00546D1F">
      <w:pPr>
        <w:spacing w:after="0" w:line="240" w:lineRule="auto"/>
        <w:jc w:val="both"/>
      </w:pPr>
    </w:p>
    <w:p w14:paraId="470BB318" w14:textId="77777777" w:rsidR="00546D1F" w:rsidRDefault="00546D1F">
      <w:pPr>
        <w:spacing w:after="0" w:line="240" w:lineRule="auto"/>
        <w:jc w:val="both"/>
      </w:pPr>
    </w:p>
    <w:p w14:paraId="26E28540" w14:textId="77777777" w:rsidR="00546D1F" w:rsidRDefault="00546D1F">
      <w:pPr>
        <w:spacing w:after="0" w:line="240" w:lineRule="auto"/>
        <w:jc w:val="both"/>
      </w:pPr>
    </w:p>
    <w:p w14:paraId="5B1EA072" w14:textId="77777777" w:rsidR="00546D1F" w:rsidRDefault="00546D1F">
      <w:pPr>
        <w:spacing w:after="0" w:line="240" w:lineRule="auto"/>
        <w:jc w:val="both"/>
        <w:rPr>
          <w:rFonts w:ascii="Arial Narrow" w:eastAsia="Arial Narrow" w:hAnsi="Arial Narrow" w:cs="Arial Narrow"/>
        </w:rPr>
      </w:pPr>
    </w:p>
    <w:p w14:paraId="40FE1818" w14:textId="77777777" w:rsidR="00546D1F" w:rsidRDefault="00546D1F">
      <w:pPr>
        <w:spacing w:after="0" w:line="240" w:lineRule="auto"/>
        <w:jc w:val="both"/>
        <w:rPr>
          <w:rFonts w:ascii="Arial Narrow" w:eastAsia="Arial Narrow" w:hAnsi="Arial Narrow" w:cs="Arial Narrow"/>
        </w:rPr>
      </w:pPr>
    </w:p>
    <w:p w14:paraId="6EEF3306" w14:textId="77777777" w:rsidR="00546D1F" w:rsidRDefault="00000000">
      <w:pPr>
        <w:spacing w:after="0"/>
        <w:jc w:val="both"/>
        <w:rPr>
          <w:rFonts w:ascii="Arial Narrow" w:eastAsia="Arial Narrow" w:hAnsi="Arial Narrow" w:cs="Arial Narrow"/>
        </w:rPr>
      </w:pPr>
      <w:r>
        <w:rPr>
          <w:rFonts w:ascii="Arial Narrow" w:eastAsia="Arial Narrow" w:hAnsi="Arial Narrow" w:cs="Arial Narrow"/>
          <w:noProof/>
        </w:rPr>
        <mc:AlternateContent>
          <mc:Choice Requires="wpg">
            <w:drawing>
              <wp:inline distT="0" distB="0" distL="0" distR="0" wp14:anchorId="0882CE81" wp14:editId="1D38DEA4">
                <wp:extent cx="3267075" cy="1114425"/>
                <wp:effectExtent l="0" t="0" r="0" b="0"/>
                <wp:docPr id="218" name="Rectángulo 218"/>
                <wp:cNvGraphicFramePr/>
                <a:graphic xmlns:a="http://schemas.openxmlformats.org/drawingml/2006/main">
                  <a:graphicData uri="http://schemas.microsoft.com/office/word/2010/wordprocessingShape">
                    <wps:wsp>
                      <wps:cNvSpPr/>
                      <wps:spPr>
                        <a:xfrm>
                          <a:off x="3731513" y="3241838"/>
                          <a:ext cx="3228975" cy="1076325"/>
                        </a:xfrm>
                        <a:prstGeom prst="rect">
                          <a:avLst/>
                        </a:prstGeom>
                        <a:solidFill>
                          <a:srgbClr val="D8D8D8"/>
                        </a:solidFill>
                        <a:ln w="38100" cap="flat" cmpd="sng">
                          <a:solidFill>
                            <a:srgbClr val="000000"/>
                          </a:solidFill>
                          <a:prstDash val="solid"/>
                          <a:miter lim="800000"/>
                          <a:headEnd type="none" w="sm" len="sm"/>
                          <a:tailEnd type="none" w="sm" len="sm"/>
                        </a:ln>
                      </wps:spPr>
                      <wps:txbx>
                        <w:txbxContent>
                          <w:p w14:paraId="40761EFE" w14:textId="77777777" w:rsidR="00546D1F" w:rsidRDefault="00000000">
                            <w:pPr>
                              <w:spacing w:line="258" w:lineRule="auto"/>
                              <w:jc w:val="center"/>
                              <w:textDirection w:val="btLr"/>
                            </w:pPr>
                            <w:r>
                              <w:rPr>
                                <w:color w:val="000000"/>
                                <w:sz w:val="48"/>
                              </w:rPr>
                              <w:t>textoFirma_1.png</w:t>
                            </w:r>
                          </w:p>
                        </w:txbxContent>
                      </wps:txbx>
                      <wps:bodyPr spcFirstLastPara="1" wrap="square" lIns="91425" tIns="45700" rIns="91425" bIns="45700"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inline distB="0" distT="0" distL="0" distR="0">
                <wp:extent cx="3267075" cy="1114425"/>
                <wp:effectExtent b="0" l="0" r="0" t="0"/>
                <wp:docPr id="218"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3267075" cy="1114425"/>
                        </a:xfrm>
                        <a:prstGeom prst="rect"/>
                        <a:ln/>
                      </pic:spPr>
                    </pic:pic>
                  </a:graphicData>
                </a:graphic>
              </wp:inline>
            </w:drawing>
          </mc:Fallback>
        </mc:AlternateContent>
      </w:r>
    </w:p>
    <w:p w14:paraId="69855301" w14:textId="77777777" w:rsidR="00546D1F" w:rsidRDefault="00546D1F">
      <w:pPr>
        <w:spacing w:after="0"/>
        <w:jc w:val="both"/>
        <w:rPr>
          <w:rFonts w:ascii="Arial Narrow" w:eastAsia="Arial Narrow" w:hAnsi="Arial Narrow" w:cs="Arial Narrow"/>
        </w:rPr>
      </w:pPr>
    </w:p>
    <w:p w14:paraId="3ACE47DF" w14:textId="77777777" w:rsidR="00546D1F" w:rsidRDefault="00546D1F">
      <w:pPr>
        <w:pBdr>
          <w:top w:val="nil"/>
          <w:left w:val="nil"/>
          <w:bottom w:val="nil"/>
          <w:right w:val="nil"/>
          <w:between w:val="nil"/>
        </w:pBdr>
        <w:spacing w:after="0" w:line="240" w:lineRule="auto"/>
        <w:rPr>
          <w:rFonts w:ascii="Arial Narrow" w:eastAsia="Arial Narrow" w:hAnsi="Arial Narrow" w:cs="Arial Narrow"/>
          <w:color w:val="000000"/>
        </w:rPr>
      </w:pPr>
    </w:p>
    <w:p w14:paraId="16A80F2E" w14:textId="77777777" w:rsidR="00546D1F" w:rsidRDefault="00000000">
      <w:pPr>
        <w:spacing w:after="0" w:line="240" w:lineRule="auto"/>
        <w:jc w:val="both"/>
        <w:rPr>
          <w:rFonts w:ascii="Arial Narrow" w:eastAsia="Arial Narrow" w:hAnsi="Arial Narrow" w:cs="Arial Narrow"/>
          <w:b/>
        </w:rPr>
      </w:pPr>
      <w:r>
        <w:rPr>
          <w:rFonts w:ascii="Arial Narrow" w:eastAsia="Arial Narrow" w:hAnsi="Arial Narrow" w:cs="Arial Narrow"/>
          <w:b/>
        </w:rPr>
        <w:t>____________________________________</w:t>
      </w:r>
    </w:p>
    <w:p w14:paraId="485B1108" w14:textId="77777777" w:rsidR="00546D1F" w:rsidRDefault="00000000">
      <w:pPr>
        <w:spacing w:after="0"/>
        <w:jc w:val="both"/>
        <w:rPr>
          <w:rFonts w:ascii="Arial Narrow" w:eastAsia="Arial Narrow" w:hAnsi="Arial Narrow" w:cs="Arial Narrow"/>
          <w:b/>
        </w:rPr>
      </w:pPr>
      <w:r>
        <w:rPr>
          <w:rFonts w:ascii="Arial Narrow" w:eastAsia="Arial Narrow" w:hAnsi="Arial Narrow" w:cs="Arial Narrow"/>
          <w:b/>
        </w:rPr>
        <w:t>[GERENTE_PROYECTO_1]</w:t>
      </w:r>
    </w:p>
    <w:p w14:paraId="68A93805" w14:textId="77777777" w:rsidR="00546D1F" w:rsidRDefault="00000000">
      <w:pPr>
        <w:spacing w:after="0"/>
        <w:jc w:val="both"/>
        <w:rPr>
          <w:rFonts w:ascii="Arial Narrow" w:eastAsia="Arial Narrow" w:hAnsi="Arial Narrow" w:cs="Arial Narrow"/>
          <w:b/>
        </w:rPr>
      </w:pPr>
      <w:r>
        <w:rPr>
          <w:rFonts w:ascii="Arial Narrow" w:eastAsia="Arial Narrow" w:hAnsi="Arial Narrow" w:cs="Arial Narrow"/>
          <w:b/>
        </w:rPr>
        <w:t xml:space="preserve">GERENTE DE PROYECTO  </w:t>
      </w:r>
    </w:p>
    <w:p w14:paraId="3ED70909"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16"/>
          <w:szCs w:val="16"/>
        </w:rPr>
      </w:pPr>
    </w:p>
    <w:p w14:paraId="5A82635A" w14:textId="77777777" w:rsidR="00546D1F" w:rsidRDefault="00000000">
      <w:pPr>
        <w:spacing w:before="240" w:after="0" w:line="276" w:lineRule="auto"/>
        <w:jc w:val="both"/>
        <w:rPr>
          <w:rFonts w:ascii="Arial Narrow" w:eastAsia="Arial Narrow" w:hAnsi="Arial Narrow" w:cs="Arial Narrow"/>
          <w:sz w:val="18"/>
          <w:szCs w:val="18"/>
        </w:rPr>
      </w:pPr>
      <w:r>
        <w:rPr>
          <w:rFonts w:ascii="Arial Narrow" w:eastAsia="Arial Narrow" w:hAnsi="Arial Narrow" w:cs="Arial Narrow"/>
          <w:sz w:val="18"/>
          <w:szCs w:val="18"/>
        </w:rPr>
        <w:t xml:space="preserve">Proyectó: Melissa Daniela </w:t>
      </w:r>
      <w:proofErr w:type="spellStart"/>
      <w:r>
        <w:rPr>
          <w:rFonts w:ascii="Arial Narrow" w:eastAsia="Arial Narrow" w:hAnsi="Arial Narrow" w:cs="Arial Narrow"/>
          <w:sz w:val="18"/>
          <w:szCs w:val="18"/>
        </w:rPr>
        <w:t>VAlencia</w:t>
      </w:r>
      <w:proofErr w:type="spellEnd"/>
      <w:r>
        <w:rPr>
          <w:rFonts w:ascii="Arial Narrow" w:eastAsia="Arial Narrow" w:hAnsi="Arial Narrow" w:cs="Arial Narrow"/>
          <w:sz w:val="18"/>
          <w:szCs w:val="18"/>
        </w:rPr>
        <w:t xml:space="preserve"> </w:t>
      </w:r>
      <w:proofErr w:type="spellStart"/>
      <w:r>
        <w:rPr>
          <w:rFonts w:ascii="Arial Narrow" w:eastAsia="Arial Narrow" w:hAnsi="Arial Narrow" w:cs="Arial Narrow"/>
          <w:sz w:val="18"/>
          <w:szCs w:val="18"/>
        </w:rPr>
        <w:t>Ibatá</w:t>
      </w:r>
      <w:proofErr w:type="spellEnd"/>
    </w:p>
    <w:p w14:paraId="572A5FAA" w14:textId="77777777" w:rsidR="00546D1F" w:rsidRDefault="00000000">
      <w:pPr>
        <w:spacing w:before="240" w:after="0" w:line="276" w:lineRule="auto"/>
        <w:jc w:val="both"/>
        <w:rPr>
          <w:rFonts w:ascii="Arial Narrow" w:eastAsia="Arial Narrow" w:hAnsi="Arial Narrow" w:cs="Arial Narrow"/>
          <w:sz w:val="18"/>
          <w:szCs w:val="18"/>
        </w:rPr>
      </w:pPr>
      <w:r>
        <w:rPr>
          <w:rFonts w:ascii="Arial Narrow" w:eastAsia="Arial Narrow" w:hAnsi="Arial Narrow" w:cs="Arial Narrow"/>
          <w:sz w:val="18"/>
          <w:szCs w:val="18"/>
        </w:rPr>
        <w:t>Revisó:  Juan Carlos Gomez</w:t>
      </w:r>
    </w:p>
    <w:p w14:paraId="0FA4F326" w14:textId="77777777" w:rsidR="00546D1F" w:rsidRDefault="00000000">
      <w:pPr>
        <w:spacing w:before="240" w:after="0" w:line="276" w:lineRule="auto"/>
        <w:jc w:val="both"/>
        <w:rPr>
          <w:rFonts w:ascii="Arial Narrow" w:eastAsia="Arial Narrow" w:hAnsi="Arial Narrow" w:cs="Arial Narrow"/>
          <w:sz w:val="18"/>
          <w:szCs w:val="18"/>
        </w:rPr>
      </w:pPr>
      <w:r>
        <w:rPr>
          <w:rFonts w:ascii="Arial Narrow" w:eastAsia="Arial Narrow" w:hAnsi="Arial Narrow" w:cs="Arial Narrow"/>
          <w:sz w:val="18"/>
          <w:szCs w:val="18"/>
        </w:rPr>
        <w:t>Aprobó:  Edgar Emilio Rodríguez</w:t>
      </w:r>
    </w:p>
    <w:p w14:paraId="4610ABFB" w14:textId="77777777" w:rsidR="00546D1F" w:rsidRDefault="00546D1F">
      <w:pPr>
        <w:pBdr>
          <w:top w:val="nil"/>
          <w:left w:val="nil"/>
          <w:bottom w:val="nil"/>
          <w:right w:val="nil"/>
          <w:between w:val="nil"/>
        </w:pBdr>
        <w:spacing w:after="0" w:line="240" w:lineRule="auto"/>
        <w:jc w:val="both"/>
        <w:rPr>
          <w:rFonts w:ascii="Arial" w:eastAsia="Arial" w:hAnsi="Arial" w:cs="Arial"/>
          <w:sz w:val="16"/>
          <w:szCs w:val="16"/>
        </w:rPr>
      </w:pPr>
    </w:p>
    <w:p w14:paraId="08A29859"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16"/>
          <w:szCs w:val="16"/>
        </w:rPr>
      </w:pPr>
    </w:p>
    <w:p w14:paraId="60BB51D7"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16"/>
          <w:szCs w:val="16"/>
        </w:rPr>
      </w:pPr>
    </w:p>
    <w:p w14:paraId="0D3F9833"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16"/>
          <w:szCs w:val="16"/>
        </w:rPr>
      </w:pPr>
    </w:p>
    <w:p w14:paraId="5BBE9000"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16"/>
          <w:szCs w:val="16"/>
        </w:rPr>
      </w:pPr>
    </w:p>
    <w:p w14:paraId="38A74809"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16"/>
          <w:szCs w:val="16"/>
        </w:rPr>
      </w:pPr>
    </w:p>
    <w:p w14:paraId="04835AAA"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16"/>
          <w:szCs w:val="16"/>
        </w:rPr>
      </w:pPr>
    </w:p>
    <w:p w14:paraId="3E39D39F"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16"/>
          <w:szCs w:val="16"/>
        </w:rPr>
      </w:pPr>
    </w:p>
    <w:p w14:paraId="4B784684"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16"/>
          <w:szCs w:val="16"/>
        </w:rPr>
      </w:pPr>
    </w:p>
    <w:p w14:paraId="603601EE" w14:textId="77777777" w:rsidR="00546D1F" w:rsidRDefault="00546D1F">
      <w:pPr>
        <w:pBdr>
          <w:top w:val="nil"/>
          <w:left w:val="nil"/>
          <w:bottom w:val="nil"/>
          <w:right w:val="nil"/>
          <w:between w:val="nil"/>
        </w:pBdr>
        <w:spacing w:after="0" w:line="240" w:lineRule="auto"/>
        <w:jc w:val="both"/>
        <w:rPr>
          <w:rFonts w:ascii="Arial" w:eastAsia="Arial" w:hAnsi="Arial" w:cs="Arial"/>
          <w:color w:val="000000"/>
          <w:sz w:val="16"/>
          <w:szCs w:val="16"/>
        </w:rPr>
      </w:pPr>
    </w:p>
    <w:p w14:paraId="12F4E859" w14:textId="77777777" w:rsidR="00546D1F" w:rsidRDefault="00000000">
      <w:pPr>
        <w:spacing w:after="0"/>
        <w:rPr>
          <w:rFonts w:ascii="Arial" w:eastAsia="Arial" w:hAnsi="Arial" w:cs="Arial"/>
          <w:b/>
          <w:sz w:val="16"/>
          <w:szCs w:val="16"/>
        </w:rPr>
      </w:pPr>
      <w:r>
        <w:rPr>
          <w:rFonts w:ascii="Arial" w:eastAsia="Arial" w:hAnsi="Arial" w:cs="Arial"/>
          <w:b/>
          <w:sz w:val="16"/>
          <w:szCs w:val="16"/>
        </w:rPr>
        <w:t>CONTROL DE CAMBIOS</w:t>
      </w:r>
    </w:p>
    <w:tbl>
      <w:tblPr>
        <w:tblStyle w:val="a1"/>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6"/>
        <w:gridCol w:w="4706"/>
        <w:gridCol w:w="3828"/>
      </w:tblGrid>
      <w:tr w:rsidR="00546D1F" w14:paraId="18154E40" w14:textId="77777777">
        <w:trPr>
          <w:trHeight w:val="442"/>
        </w:trPr>
        <w:tc>
          <w:tcPr>
            <w:tcW w:w="1106" w:type="dxa"/>
            <w:shd w:val="clear" w:color="auto" w:fill="D9D9D9"/>
            <w:vAlign w:val="center"/>
          </w:tcPr>
          <w:p w14:paraId="58824C7D" w14:textId="77777777" w:rsidR="00546D1F" w:rsidRDefault="0000000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proofErr w:type="spellStart"/>
            <w:r>
              <w:rPr>
                <w:rFonts w:ascii="Arial" w:eastAsia="Arial" w:hAnsi="Arial" w:cs="Arial"/>
                <w:b/>
                <w:color w:val="000000"/>
                <w:sz w:val="16"/>
                <w:szCs w:val="16"/>
              </w:rPr>
              <w:t>Versión</w:t>
            </w:r>
            <w:proofErr w:type="spellEnd"/>
          </w:p>
        </w:tc>
        <w:tc>
          <w:tcPr>
            <w:tcW w:w="4706" w:type="dxa"/>
            <w:shd w:val="clear" w:color="auto" w:fill="D9D9D9"/>
            <w:vAlign w:val="center"/>
          </w:tcPr>
          <w:p w14:paraId="19BD2D0E" w14:textId="77777777" w:rsidR="00546D1F" w:rsidRDefault="00000000">
            <w:pPr>
              <w:pBdr>
                <w:top w:val="nil"/>
                <w:left w:val="nil"/>
                <w:bottom w:val="nil"/>
                <w:right w:val="nil"/>
                <w:between w:val="nil"/>
              </w:pBdr>
              <w:tabs>
                <w:tab w:val="center" w:pos="4419"/>
                <w:tab w:val="right" w:pos="8838"/>
              </w:tabs>
              <w:jc w:val="center"/>
              <w:rPr>
                <w:rFonts w:ascii="Arial" w:eastAsia="Arial" w:hAnsi="Arial" w:cs="Arial"/>
                <w:b/>
                <w:color w:val="000000"/>
                <w:sz w:val="16"/>
                <w:szCs w:val="16"/>
              </w:rPr>
            </w:pPr>
            <w:proofErr w:type="spellStart"/>
            <w:r>
              <w:rPr>
                <w:rFonts w:ascii="Arial" w:eastAsia="Arial" w:hAnsi="Arial" w:cs="Arial"/>
                <w:b/>
                <w:color w:val="000000"/>
                <w:sz w:val="16"/>
                <w:szCs w:val="16"/>
              </w:rPr>
              <w:t>Descripción</w:t>
            </w:r>
            <w:proofErr w:type="spellEnd"/>
            <w:r>
              <w:rPr>
                <w:rFonts w:ascii="Arial" w:eastAsia="Arial" w:hAnsi="Arial" w:cs="Arial"/>
                <w:b/>
                <w:color w:val="000000"/>
                <w:sz w:val="16"/>
                <w:szCs w:val="16"/>
              </w:rPr>
              <w:t xml:space="preserve"> de la </w:t>
            </w:r>
            <w:proofErr w:type="spellStart"/>
            <w:r>
              <w:rPr>
                <w:rFonts w:ascii="Arial" w:eastAsia="Arial" w:hAnsi="Arial" w:cs="Arial"/>
                <w:b/>
                <w:color w:val="000000"/>
                <w:sz w:val="16"/>
                <w:szCs w:val="16"/>
              </w:rPr>
              <w:t>modificación</w:t>
            </w:r>
            <w:proofErr w:type="spellEnd"/>
          </w:p>
        </w:tc>
        <w:tc>
          <w:tcPr>
            <w:tcW w:w="3828" w:type="dxa"/>
            <w:shd w:val="clear" w:color="auto" w:fill="D9D9D9"/>
            <w:vAlign w:val="center"/>
          </w:tcPr>
          <w:p w14:paraId="09763D2B" w14:textId="77777777" w:rsidR="00546D1F" w:rsidRPr="00A7633C" w:rsidRDefault="00000000">
            <w:pPr>
              <w:pBdr>
                <w:top w:val="nil"/>
                <w:left w:val="nil"/>
                <w:bottom w:val="nil"/>
                <w:right w:val="nil"/>
                <w:between w:val="nil"/>
              </w:pBdr>
              <w:tabs>
                <w:tab w:val="center" w:pos="4419"/>
                <w:tab w:val="right" w:pos="8838"/>
              </w:tabs>
              <w:jc w:val="center"/>
              <w:rPr>
                <w:rFonts w:ascii="Arial" w:eastAsia="Arial" w:hAnsi="Arial" w:cs="Arial"/>
                <w:b/>
                <w:color w:val="000000"/>
                <w:sz w:val="16"/>
                <w:szCs w:val="16"/>
                <w:lang w:val="es-CO"/>
              </w:rPr>
            </w:pPr>
            <w:r w:rsidRPr="00A7633C">
              <w:rPr>
                <w:rFonts w:ascii="Arial" w:eastAsia="Arial" w:hAnsi="Arial" w:cs="Arial"/>
                <w:b/>
                <w:color w:val="000000"/>
                <w:sz w:val="16"/>
                <w:szCs w:val="16"/>
                <w:lang w:val="es-CO"/>
              </w:rPr>
              <w:t>No. Acto Administrativo y fecha</w:t>
            </w:r>
          </w:p>
        </w:tc>
      </w:tr>
      <w:tr w:rsidR="00546D1F" w14:paraId="1106CED9" w14:textId="77777777">
        <w:trPr>
          <w:trHeight w:val="549"/>
        </w:trPr>
        <w:tc>
          <w:tcPr>
            <w:tcW w:w="1106" w:type="dxa"/>
            <w:shd w:val="clear" w:color="auto" w:fill="auto"/>
            <w:vAlign w:val="center"/>
          </w:tcPr>
          <w:p w14:paraId="0467A680" w14:textId="77777777" w:rsidR="00546D1F" w:rsidRDefault="00000000">
            <w:pPr>
              <w:pBdr>
                <w:top w:val="nil"/>
                <w:left w:val="nil"/>
                <w:bottom w:val="nil"/>
                <w:right w:val="nil"/>
                <w:between w:val="nil"/>
              </w:pBdr>
              <w:tabs>
                <w:tab w:val="center" w:pos="4419"/>
                <w:tab w:val="right" w:pos="8838"/>
              </w:tabs>
              <w:jc w:val="center"/>
              <w:rPr>
                <w:rFonts w:ascii="Arial" w:eastAsia="Arial" w:hAnsi="Arial" w:cs="Arial"/>
                <w:color w:val="000000"/>
                <w:sz w:val="16"/>
                <w:szCs w:val="16"/>
              </w:rPr>
            </w:pPr>
            <w:r>
              <w:rPr>
                <w:rFonts w:ascii="Arial" w:eastAsia="Arial" w:hAnsi="Arial" w:cs="Arial"/>
                <w:color w:val="000000"/>
                <w:sz w:val="16"/>
                <w:szCs w:val="16"/>
              </w:rPr>
              <w:t>1</w:t>
            </w:r>
          </w:p>
        </w:tc>
        <w:tc>
          <w:tcPr>
            <w:tcW w:w="4706" w:type="dxa"/>
            <w:shd w:val="clear" w:color="auto" w:fill="auto"/>
            <w:vAlign w:val="center"/>
          </w:tcPr>
          <w:p w14:paraId="176B2749" w14:textId="77777777" w:rsidR="00546D1F" w:rsidRPr="00A7633C" w:rsidRDefault="00000000">
            <w:pPr>
              <w:widowControl/>
              <w:pBdr>
                <w:top w:val="nil"/>
                <w:left w:val="nil"/>
                <w:bottom w:val="nil"/>
                <w:right w:val="nil"/>
                <w:between w:val="nil"/>
              </w:pBdr>
              <w:jc w:val="both"/>
              <w:rPr>
                <w:rFonts w:ascii="Arial" w:eastAsia="Arial" w:hAnsi="Arial" w:cs="Arial"/>
                <w:color w:val="000000"/>
                <w:sz w:val="16"/>
                <w:szCs w:val="16"/>
                <w:lang w:val="es-CO"/>
              </w:rPr>
            </w:pPr>
            <w:r w:rsidRPr="00A7633C">
              <w:rPr>
                <w:rFonts w:ascii="Arial" w:eastAsia="Arial" w:hAnsi="Arial" w:cs="Arial"/>
                <w:color w:val="000000"/>
                <w:sz w:val="16"/>
                <w:szCs w:val="16"/>
                <w:lang w:val="es-CO"/>
              </w:rPr>
              <w:t>Adopción por mejoras del proceso</w:t>
            </w:r>
          </w:p>
        </w:tc>
        <w:tc>
          <w:tcPr>
            <w:tcW w:w="3828" w:type="dxa"/>
            <w:shd w:val="clear" w:color="auto" w:fill="auto"/>
            <w:vAlign w:val="center"/>
          </w:tcPr>
          <w:p w14:paraId="04CEEA7F" w14:textId="77777777" w:rsidR="00546D1F" w:rsidRPr="00A7633C" w:rsidRDefault="00000000">
            <w:pPr>
              <w:pBdr>
                <w:top w:val="nil"/>
                <w:left w:val="nil"/>
                <w:bottom w:val="nil"/>
                <w:right w:val="nil"/>
                <w:between w:val="nil"/>
              </w:pBdr>
              <w:tabs>
                <w:tab w:val="center" w:pos="4419"/>
                <w:tab w:val="right" w:pos="8838"/>
              </w:tabs>
              <w:jc w:val="center"/>
              <w:rPr>
                <w:rFonts w:ascii="Arial" w:eastAsia="Arial" w:hAnsi="Arial" w:cs="Arial"/>
                <w:color w:val="000000"/>
                <w:sz w:val="16"/>
                <w:szCs w:val="16"/>
                <w:lang w:val="es-CO"/>
              </w:rPr>
            </w:pPr>
            <w:r w:rsidRPr="00A7633C">
              <w:rPr>
                <w:rFonts w:ascii="Arial" w:eastAsia="Arial" w:hAnsi="Arial" w:cs="Arial"/>
                <w:color w:val="000000"/>
                <w:sz w:val="16"/>
                <w:szCs w:val="16"/>
                <w:lang w:val="es-CO"/>
              </w:rPr>
              <w:t>Radicado 2024IE133828 del 26 de junio del 2024</w:t>
            </w:r>
          </w:p>
        </w:tc>
      </w:tr>
    </w:tbl>
    <w:p w14:paraId="4D3A23F6" w14:textId="77777777" w:rsidR="00546D1F" w:rsidRDefault="00000000">
      <w:pPr>
        <w:rPr>
          <w:rFonts w:ascii="Arial" w:eastAsia="Arial" w:hAnsi="Arial" w:cs="Arial"/>
          <w:b/>
          <w:sz w:val="16"/>
          <w:szCs w:val="16"/>
        </w:rPr>
      </w:pPr>
      <w:r>
        <w:rPr>
          <w:rFonts w:ascii="Arial Narrow" w:eastAsia="Arial Narrow" w:hAnsi="Arial Narrow" w:cs="Arial Narrow"/>
          <w:sz w:val="16"/>
          <w:szCs w:val="16"/>
        </w:rPr>
        <w:tab/>
      </w:r>
    </w:p>
    <w:p w14:paraId="4A8278FF" w14:textId="77777777" w:rsidR="00546D1F" w:rsidRDefault="00000000">
      <w:pPr>
        <w:spacing w:after="0"/>
        <w:rPr>
          <w:sz w:val="16"/>
          <w:szCs w:val="16"/>
        </w:rPr>
      </w:pPr>
      <w:r>
        <w:rPr>
          <w:rFonts w:ascii="Arial" w:eastAsia="Arial" w:hAnsi="Arial" w:cs="Arial"/>
          <w:b/>
          <w:sz w:val="16"/>
          <w:szCs w:val="16"/>
        </w:rPr>
        <w:t>RESPONSABLES DE ELABORAR O ACTUALIZAR</w:t>
      </w:r>
    </w:p>
    <w:tbl>
      <w:tblPr>
        <w:tblStyle w:val="a2"/>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2"/>
        <w:gridCol w:w="3321"/>
        <w:gridCol w:w="2917"/>
      </w:tblGrid>
      <w:tr w:rsidR="00546D1F" w14:paraId="02C0C01B" w14:textId="77777777">
        <w:trPr>
          <w:trHeight w:val="75"/>
        </w:trPr>
        <w:tc>
          <w:tcPr>
            <w:tcW w:w="3402" w:type="dxa"/>
            <w:shd w:val="clear" w:color="auto" w:fill="D9D9D9"/>
          </w:tcPr>
          <w:p w14:paraId="0A68A64E" w14:textId="77777777" w:rsidR="00546D1F" w:rsidRDefault="00000000">
            <w:pPr>
              <w:tabs>
                <w:tab w:val="center" w:pos="4419"/>
                <w:tab w:val="right" w:pos="8838"/>
              </w:tabs>
              <w:jc w:val="center"/>
              <w:rPr>
                <w:rFonts w:ascii="Arial" w:eastAsia="Arial" w:hAnsi="Arial" w:cs="Arial"/>
                <w:b/>
                <w:color w:val="000000"/>
                <w:sz w:val="16"/>
                <w:szCs w:val="16"/>
              </w:rPr>
            </w:pPr>
            <w:proofErr w:type="spellStart"/>
            <w:r>
              <w:rPr>
                <w:rFonts w:ascii="Arial" w:eastAsia="Arial" w:hAnsi="Arial" w:cs="Arial"/>
                <w:b/>
                <w:color w:val="000000"/>
                <w:sz w:val="16"/>
                <w:szCs w:val="16"/>
              </w:rPr>
              <w:t>Elaboró</w:t>
            </w:r>
            <w:proofErr w:type="spellEnd"/>
            <w:r>
              <w:rPr>
                <w:rFonts w:ascii="Arial" w:eastAsia="Arial" w:hAnsi="Arial" w:cs="Arial"/>
                <w:b/>
                <w:color w:val="000000"/>
                <w:sz w:val="16"/>
                <w:szCs w:val="16"/>
              </w:rPr>
              <w:t>:</w:t>
            </w:r>
          </w:p>
        </w:tc>
        <w:tc>
          <w:tcPr>
            <w:tcW w:w="3321" w:type="dxa"/>
            <w:shd w:val="clear" w:color="auto" w:fill="D9D9D9"/>
          </w:tcPr>
          <w:p w14:paraId="6BC0C5BE" w14:textId="77777777" w:rsidR="00546D1F" w:rsidRDefault="00000000">
            <w:pPr>
              <w:tabs>
                <w:tab w:val="center" w:pos="4419"/>
                <w:tab w:val="right" w:pos="8838"/>
              </w:tabs>
              <w:jc w:val="center"/>
              <w:rPr>
                <w:rFonts w:ascii="Arial" w:eastAsia="Arial" w:hAnsi="Arial" w:cs="Arial"/>
                <w:b/>
                <w:color w:val="000000"/>
                <w:sz w:val="16"/>
                <w:szCs w:val="16"/>
              </w:rPr>
            </w:pPr>
            <w:proofErr w:type="spellStart"/>
            <w:r>
              <w:rPr>
                <w:rFonts w:ascii="Arial" w:eastAsia="Arial" w:hAnsi="Arial" w:cs="Arial"/>
                <w:b/>
                <w:color w:val="000000"/>
                <w:sz w:val="16"/>
                <w:szCs w:val="16"/>
              </w:rPr>
              <w:t>Revisó</w:t>
            </w:r>
            <w:proofErr w:type="spellEnd"/>
            <w:r>
              <w:rPr>
                <w:rFonts w:ascii="Arial" w:eastAsia="Arial" w:hAnsi="Arial" w:cs="Arial"/>
                <w:b/>
                <w:color w:val="000000"/>
                <w:sz w:val="16"/>
                <w:szCs w:val="16"/>
              </w:rPr>
              <w:t>:</w:t>
            </w:r>
          </w:p>
        </w:tc>
        <w:tc>
          <w:tcPr>
            <w:tcW w:w="2917" w:type="dxa"/>
            <w:shd w:val="clear" w:color="auto" w:fill="D9D9D9"/>
          </w:tcPr>
          <w:p w14:paraId="5D6EE7D5" w14:textId="77777777" w:rsidR="00546D1F" w:rsidRDefault="00000000">
            <w:pPr>
              <w:tabs>
                <w:tab w:val="center" w:pos="4419"/>
                <w:tab w:val="right" w:pos="8838"/>
              </w:tabs>
              <w:jc w:val="center"/>
              <w:rPr>
                <w:rFonts w:ascii="Arial" w:eastAsia="Arial" w:hAnsi="Arial" w:cs="Arial"/>
                <w:b/>
                <w:color w:val="000000"/>
                <w:sz w:val="16"/>
                <w:szCs w:val="16"/>
              </w:rPr>
            </w:pPr>
            <w:proofErr w:type="spellStart"/>
            <w:r>
              <w:rPr>
                <w:rFonts w:ascii="Arial" w:eastAsia="Arial" w:hAnsi="Arial" w:cs="Arial"/>
                <w:b/>
                <w:color w:val="000000"/>
                <w:sz w:val="16"/>
                <w:szCs w:val="16"/>
              </w:rPr>
              <w:t>Aprobó</w:t>
            </w:r>
            <w:proofErr w:type="spellEnd"/>
            <w:r>
              <w:rPr>
                <w:rFonts w:ascii="Arial" w:eastAsia="Arial" w:hAnsi="Arial" w:cs="Arial"/>
                <w:b/>
                <w:color w:val="000000"/>
                <w:sz w:val="16"/>
                <w:szCs w:val="16"/>
              </w:rPr>
              <w:t>:</w:t>
            </w:r>
          </w:p>
        </w:tc>
      </w:tr>
      <w:tr w:rsidR="00546D1F" w14:paraId="48F1610F" w14:textId="77777777">
        <w:trPr>
          <w:trHeight w:val="385"/>
        </w:trPr>
        <w:tc>
          <w:tcPr>
            <w:tcW w:w="3402" w:type="dxa"/>
          </w:tcPr>
          <w:p w14:paraId="37968A99" w14:textId="77777777" w:rsidR="00546D1F" w:rsidRPr="00A7633C" w:rsidRDefault="00000000">
            <w:pPr>
              <w:pBdr>
                <w:top w:val="nil"/>
                <w:left w:val="nil"/>
                <w:bottom w:val="nil"/>
                <w:right w:val="nil"/>
                <w:between w:val="nil"/>
              </w:pBdr>
              <w:spacing w:before="85"/>
              <w:ind w:left="107" w:right="79"/>
              <w:rPr>
                <w:rFonts w:ascii="Arial" w:eastAsia="Arial" w:hAnsi="Arial" w:cs="Arial"/>
                <w:color w:val="000000"/>
                <w:sz w:val="16"/>
                <w:szCs w:val="16"/>
                <w:lang w:val="es-CO"/>
              </w:rPr>
            </w:pPr>
            <w:r w:rsidRPr="00A7633C">
              <w:rPr>
                <w:rFonts w:ascii="Arial" w:eastAsia="Arial" w:hAnsi="Arial" w:cs="Arial"/>
                <w:color w:val="000000"/>
                <w:sz w:val="16"/>
                <w:szCs w:val="16"/>
                <w:lang w:val="es-CO"/>
              </w:rPr>
              <w:t xml:space="preserve">Nombre: </w:t>
            </w:r>
            <w:r w:rsidRPr="00A7633C">
              <w:rPr>
                <w:rFonts w:ascii="Arial" w:eastAsia="Arial" w:hAnsi="Arial" w:cs="Arial"/>
                <w:color w:val="1F1F1F"/>
                <w:sz w:val="16"/>
                <w:szCs w:val="16"/>
                <w:lang w:val="es-CO"/>
              </w:rPr>
              <w:t xml:space="preserve">Karen Adriana Duarte Mayorga Cargo: Subdirectora Contractual </w:t>
            </w:r>
          </w:p>
          <w:p w14:paraId="254FF1AB" w14:textId="77777777" w:rsidR="00546D1F" w:rsidRDefault="00000000">
            <w:pPr>
              <w:pBdr>
                <w:top w:val="nil"/>
                <w:left w:val="nil"/>
                <w:bottom w:val="nil"/>
                <w:right w:val="nil"/>
                <w:between w:val="nil"/>
              </w:pBdr>
              <w:spacing w:before="1"/>
              <w:ind w:left="107"/>
              <w:rPr>
                <w:rFonts w:ascii="Arial" w:eastAsia="Arial" w:hAnsi="Arial" w:cs="Arial"/>
                <w:color w:val="000000"/>
                <w:sz w:val="16"/>
                <w:szCs w:val="16"/>
              </w:rPr>
            </w:pPr>
            <w:proofErr w:type="spellStart"/>
            <w:r>
              <w:rPr>
                <w:rFonts w:ascii="Arial" w:eastAsia="Arial" w:hAnsi="Arial" w:cs="Arial"/>
                <w:color w:val="000000"/>
                <w:sz w:val="16"/>
                <w:szCs w:val="16"/>
              </w:rPr>
              <w:t>Fecha</w:t>
            </w:r>
            <w:proofErr w:type="spellEnd"/>
            <w:r>
              <w:rPr>
                <w:rFonts w:ascii="Arial" w:eastAsia="Arial" w:hAnsi="Arial" w:cs="Arial"/>
                <w:color w:val="000000"/>
                <w:sz w:val="16"/>
                <w:szCs w:val="16"/>
              </w:rPr>
              <w:t xml:space="preserve">: 30 de </w:t>
            </w:r>
            <w:proofErr w:type="spellStart"/>
            <w:r>
              <w:rPr>
                <w:rFonts w:ascii="Arial" w:eastAsia="Arial" w:hAnsi="Arial" w:cs="Arial"/>
                <w:color w:val="000000"/>
                <w:sz w:val="16"/>
                <w:szCs w:val="16"/>
              </w:rPr>
              <w:t>abril</w:t>
            </w:r>
            <w:proofErr w:type="spellEnd"/>
            <w:r>
              <w:rPr>
                <w:rFonts w:ascii="Arial" w:eastAsia="Arial" w:hAnsi="Arial" w:cs="Arial"/>
                <w:color w:val="000000"/>
                <w:sz w:val="16"/>
                <w:szCs w:val="16"/>
              </w:rPr>
              <w:t xml:space="preserve"> de 2024</w:t>
            </w:r>
          </w:p>
        </w:tc>
        <w:tc>
          <w:tcPr>
            <w:tcW w:w="3321" w:type="dxa"/>
          </w:tcPr>
          <w:p w14:paraId="06F6EEB0" w14:textId="77777777" w:rsidR="00546D1F" w:rsidRPr="00A7633C" w:rsidRDefault="00000000">
            <w:pPr>
              <w:pBdr>
                <w:top w:val="nil"/>
                <w:left w:val="nil"/>
                <w:bottom w:val="nil"/>
                <w:right w:val="nil"/>
                <w:between w:val="nil"/>
              </w:pBdr>
              <w:spacing w:before="85"/>
              <w:ind w:left="107" w:right="79"/>
              <w:rPr>
                <w:rFonts w:ascii="Arial" w:eastAsia="Arial" w:hAnsi="Arial" w:cs="Arial"/>
                <w:color w:val="000000"/>
                <w:sz w:val="16"/>
                <w:szCs w:val="16"/>
                <w:lang w:val="es-CO"/>
              </w:rPr>
            </w:pPr>
            <w:r w:rsidRPr="00A7633C">
              <w:rPr>
                <w:rFonts w:ascii="Arial" w:eastAsia="Arial" w:hAnsi="Arial" w:cs="Arial"/>
                <w:color w:val="000000"/>
                <w:sz w:val="16"/>
                <w:szCs w:val="16"/>
                <w:lang w:val="es-CO"/>
              </w:rPr>
              <w:t xml:space="preserve">Nombre: </w:t>
            </w:r>
            <w:r w:rsidRPr="00A7633C">
              <w:rPr>
                <w:rFonts w:ascii="Arial" w:eastAsia="Arial" w:hAnsi="Arial" w:cs="Arial"/>
                <w:color w:val="1F1F1F"/>
                <w:sz w:val="16"/>
                <w:szCs w:val="16"/>
                <w:lang w:val="es-CO"/>
              </w:rPr>
              <w:t xml:space="preserve">Karen Adriana Duarte Mayorga Cargo: Subdirectora Contractual </w:t>
            </w:r>
          </w:p>
          <w:p w14:paraId="4A2F86F1" w14:textId="77777777" w:rsidR="00546D1F" w:rsidRDefault="00000000">
            <w:pPr>
              <w:pBdr>
                <w:top w:val="nil"/>
                <w:left w:val="nil"/>
                <w:bottom w:val="nil"/>
                <w:right w:val="nil"/>
                <w:between w:val="nil"/>
              </w:pBdr>
              <w:spacing w:before="1"/>
              <w:ind w:left="108"/>
              <w:rPr>
                <w:rFonts w:ascii="Arial" w:eastAsia="Arial" w:hAnsi="Arial" w:cs="Arial"/>
                <w:color w:val="000000"/>
                <w:sz w:val="16"/>
                <w:szCs w:val="16"/>
              </w:rPr>
            </w:pPr>
            <w:proofErr w:type="spellStart"/>
            <w:r>
              <w:rPr>
                <w:rFonts w:ascii="Arial" w:eastAsia="Arial" w:hAnsi="Arial" w:cs="Arial"/>
                <w:color w:val="000000"/>
                <w:sz w:val="16"/>
                <w:szCs w:val="16"/>
              </w:rPr>
              <w:t>Fecha</w:t>
            </w:r>
            <w:proofErr w:type="spellEnd"/>
            <w:r>
              <w:rPr>
                <w:rFonts w:ascii="Arial" w:eastAsia="Arial" w:hAnsi="Arial" w:cs="Arial"/>
                <w:color w:val="000000"/>
                <w:sz w:val="16"/>
                <w:szCs w:val="16"/>
              </w:rPr>
              <w:t xml:space="preserve">: 30 de </w:t>
            </w:r>
            <w:proofErr w:type="spellStart"/>
            <w:r>
              <w:rPr>
                <w:rFonts w:ascii="Arial" w:eastAsia="Arial" w:hAnsi="Arial" w:cs="Arial"/>
                <w:color w:val="000000"/>
                <w:sz w:val="16"/>
                <w:szCs w:val="16"/>
              </w:rPr>
              <w:t>abril</w:t>
            </w:r>
            <w:proofErr w:type="spellEnd"/>
            <w:r>
              <w:rPr>
                <w:rFonts w:ascii="Arial" w:eastAsia="Arial" w:hAnsi="Arial" w:cs="Arial"/>
                <w:color w:val="000000"/>
                <w:sz w:val="16"/>
                <w:szCs w:val="16"/>
              </w:rPr>
              <w:t xml:space="preserve"> de 2024</w:t>
            </w:r>
          </w:p>
        </w:tc>
        <w:tc>
          <w:tcPr>
            <w:tcW w:w="2917" w:type="dxa"/>
          </w:tcPr>
          <w:p w14:paraId="1C589D73" w14:textId="77777777" w:rsidR="00546D1F" w:rsidRPr="00A7633C" w:rsidRDefault="00000000">
            <w:pPr>
              <w:pBdr>
                <w:top w:val="nil"/>
                <w:left w:val="nil"/>
                <w:bottom w:val="nil"/>
                <w:right w:val="nil"/>
                <w:between w:val="nil"/>
              </w:pBdr>
              <w:spacing w:before="85"/>
              <w:ind w:left="107" w:right="79"/>
              <w:jc w:val="both"/>
              <w:rPr>
                <w:rFonts w:ascii="Arial" w:eastAsia="Arial" w:hAnsi="Arial" w:cs="Arial"/>
                <w:color w:val="1F1F1F"/>
                <w:sz w:val="16"/>
                <w:szCs w:val="16"/>
                <w:lang w:val="es-CO"/>
              </w:rPr>
            </w:pPr>
            <w:r w:rsidRPr="00A7633C">
              <w:rPr>
                <w:rFonts w:ascii="Arial" w:eastAsia="Arial" w:hAnsi="Arial" w:cs="Arial"/>
                <w:color w:val="1F1F1F"/>
                <w:sz w:val="16"/>
                <w:szCs w:val="16"/>
                <w:lang w:val="es-CO"/>
              </w:rPr>
              <w:t xml:space="preserve">Nombre: Jerónimo Juan Diego Rodríguez </w:t>
            </w:r>
            <w:proofErr w:type="spellStart"/>
            <w:r w:rsidRPr="00A7633C">
              <w:rPr>
                <w:rFonts w:ascii="Arial" w:eastAsia="Arial" w:hAnsi="Arial" w:cs="Arial"/>
                <w:color w:val="1F1F1F"/>
                <w:sz w:val="16"/>
                <w:szCs w:val="16"/>
                <w:lang w:val="es-CO"/>
              </w:rPr>
              <w:t>Rodríguez</w:t>
            </w:r>
            <w:proofErr w:type="spellEnd"/>
          </w:p>
          <w:p w14:paraId="0E9D0CB6" w14:textId="77777777" w:rsidR="00546D1F" w:rsidRPr="00A7633C" w:rsidRDefault="00000000">
            <w:pPr>
              <w:pBdr>
                <w:top w:val="nil"/>
                <w:left w:val="nil"/>
                <w:bottom w:val="nil"/>
                <w:right w:val="nil"/>
                <w:between w:val="nil"/>
              </w:pBdr>
              <w:spacing w:before="85"/>
              <w:ind w:left="107" w:right="79"/>
              <w:jc w:val="both"/>
              <w:rPr>
                <w:rFonts w:ascii="Arial" w:eastAsia="Arial" w:hAnsi="Arial" w:cs="Arial"/>
                <w:color w:val="1F1F1F"/>
                <w:sz w:val="16"/>
                <w:szCs w:val="16"/>
                <w:lang w:val="es-CO"/>
              </w:rPr>
            </w:pPr>
            <w:r w:rsidRPr="00A7633C">
              <w:rPr>
                <w:rFonts w:ascii="Arial" w:eastAsia="Arial" w:hAnsi="Arial" w:cs="Arial"/>
                <w:color w:val="1F1F1F"/>
                <w:sz w:val="16"/>
                <w:szCs w:val="16"/>
                <w:lang w:val="es-CO"/>
              </w:rPr>
              <w:t xml:space="preserve">Cargo: Subsecretario General </w:t>
            </w:r>
          </w:p>
          <w:p w14:paraId="39FD63FB" w14:textId="77777777" w:rsidR="00546D1F" w:rsidRPr="00A7633C" w:rsidRDefault="00000000">
            <w:pPr>
              <w:pBdr>
                <w:top w:val="nil"/>
                <w:left w:val="nil"/>
                <w:bottom w:val="nil"/>
                <w:right w:val="nil"/>
                <w:between w:val="nil"/>
              </w:pBdr>
              <w:spacing w:before="85"/>
              <w:ind w:left="107" w:right="79"/>
              <w:jc w:val="both"/>
              <w:rPr>
                <w:rFonts w:ascii="Arial" w:eastAsia="Arial" w:hAnsi="Arial" w:cs="Arial"/>
                <w:color w:val="000000"/>
                <w:sz w:val="16"/>
                <w:szCs w:val="16"/>
                <w:lang w:val="es-CO"/>
              </w:rPr>
            </w:pPr>
            <w:r w:rsidRPr="00A7633C">
              <w:rPr>
                <w:rFonts w:ascii="Arial" w:eastAsia="Arial" w:hAnsi="Arial" w:cs="Arial"/>
                <w:color w:val="1F1F1F"/>
                <w:sz w:val="16"/>
                <w:szCs w:val="16"/>
                <w:lang w:val="es-CO"/>
              </w:rPr>
              <w:t xml:space="preserve">Fecha: </w:t>
            </w:r>
            <w:r w:rsidRPr="00A7633C">
              <w:rPr>
                <w:rFonts w:ascii="Arial" w:eastAsia="Arial" w:hAnsi="Arial" w:cs="Arial"/>
                <w:color w:val="000000"/>
                <w:sz w:val="16"/>
                <w:szCs w:val="16"/>
                <w:lang w:val="es-CO"/>
              </w:rPr>
              <w:t>26 de junio del 2024</w:t>
            </w:r>
          </w:p>
        </w:tc>
      </w:tr>
    </w:tbl>
    <w:p w14:paraId="6F256439" w14:textId="77777777" w:rsidR="00546D1F" w:rsidRDefault="00000000">
      <w:p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sz w:val="16"/>
          <w:szCs w:val="16"/>
        </w:rPr>
        <w:tab/>
      </w:r>
    </w:p>
    <w:sectPr w:rsidR="00546D1F">
      <w:headerReference w:type="even" r:id="rId9"/>
      <w:headerReference w:type="default" r:id="rId10"/>
      <w:footerReference w:type="even" r:id="rId11"/>
      <w:footerReference w:type="default" r:id="rId12"/>
      <w:headerReference w:type="first" r:id="rId13"/>
      <w:footerReference w:type="first" r:id="rId14"/>
      <w:pgSz w:w="12240" w:h="15840"/>
      <w:pgMar w:top="1701" w:right="1134" w:bottom="1134"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AA33A1" w14:textId="77777777" w:rsidR="00FC3094" w:rsidRDefault="00FC3094">
      <w:pPr>
        <w:spacing w:after="0" w:line="240" w:lineRule="auto"/>
      </w:pPr>
      <w:r>
        <w:separator/>
      </w:r>
    </w:p>
  </w:endnote>
  <w:endnote w:type="continuationSeparator" w:id="0">
    <w:p w14:paraId="5917E0CB" w14:textId="77777777" w:rsidR="00FC3094" w:rsidRDefault="00FC30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4B637237-A042-C84B-87E1-350DCD7CEDCB}"/>
  </w:font>
  <w:font w:name="Courier New">
    <w:panose1 w:val="02070309020205020404"/>
    <w:charset w:val="00"/>
    <w:family w:val="modern"/>
    <w:pitch w:val="fixed"/>
    <w:sig w:usb0="E0002EFF" w:usb1="C0007843" w:usb2="00000009" w:usb3="00000000" w:csb0="000001FF" w:csb1="00000000"/>
    <w:embedRegular r:id="rId2" w:fontKey="{72BAD51D-459D-AD4A-A4D9-1A108B086FCC}"/>
  </w:font>
  <w:font w:name="Times New Roman">
    <w:panose1 w:val="02020603050405020304"/>
    <w:charset w:val="00"/>
    <w:family w:val="roman"/>
    <w:pitch w:val="variable"/>
    <w:sig w:usb0="E0002EFF" w:usb1="C000785B" w:usb2="00000009" w:usb3="00000000" w:csb0="000001FF" w:csb1="00000000"/>
    <w:embedRegular r:id="rId3" w:fontKey="{F45E9938-97B8-2144-BF9B-9A6C0780A724}"/>
    <w:embedBold r:id="rId4" w:fontKey="{A9C328C3-B5C8-864F-9F83-82FAD50E5623}"/>
    <w:embedItalic r:id="rId5" w:fontKey="{5E0C19A7-2250-994C-87C3-6B8410B7E7B6}"/>
  </w:font>
  <w:font w:name="Aptos">
    <w:panose1 w:val="020B0004020202020204"/>
    <w:charset w:val="00"/>
    <w:family w:val="swiss"/>
    <w:pitch w:val="variable"/>
    <w:sig w:usb0="20000287" w:usb1="00000003" w:usb2="00000000" w:usb3="00000000" w:csb0="0000019F" w:csb1="00000000"/>
    <w:embedRegular r:id="rId6" w:fontKey="{61F9EA3A-4726-8D44-AD4C-B7973FFCB7EC}"/>
    <w:embedBold r:id="rId7" w:fontKey="{F93C2344-293F-F545-8E47-59223C83CB7F}"/>
    <w:embedItalic r:id="rId8" w:fontKey="{8553ECF7-F2B4-AE48-A0EB-F3041648F9B2}"/>
  </w:font>
  <w:font w:name="Aptos Display">
    <w:panose1 w:val="020B0004020202020204"/>
    <w:charset w:val="00"/>
    <w:family w:val="swiss"/>
    <w:pitch w:val="variable"/>
    <w:sig w:usb0="20000287" w:usb1="00000003" w:usb2="00000000" w:usb3="00000000" w:csb0="0000019F" w:csb1="00000000"/>
    <w:embedRegular r:id="rId9" w:fontKey="{7F86E708-3924-2E47-92A0-AFA28F42FDE4}"/>
  </w:font>
  <w:font w:name="Arial">
    <w:panose1 w:val="020B0604020202020204"/>
    <w:charset w:val="00"/>
    <w:family w:val="swiss"/>
    <w:pitch w:val="variable"/>
    <w:sig w:usb0="E0002EFF" w:usb1="C000785B" w:usb2="00000009" w:usb3="00000000" w:csb0="000001FF" w:csb1="00000000"/>
    <w:embedRegular r:id="rId10" w:fontKey="{923717ED-FF36-D04F-B3B0-2B181934F35B}"/>
    <w:embedBold r:id="rId11" w:fontKey="{B7FB4A0D-BA6F-DD4A-8B98-D093BAD14D6A}"/>
    <w:embedItalic r:id="rId12" w:fontKey="{0F4A4EEE-D449-9847-A6BB-902B67D2463A}"/>
    <w:embedBoldItalic r:id="rId13" w:fontKey="{9BB0B1A0-A2D2-C54E-B40F-0A4B2C28DAFD}"/>
  </w:font>
  <w:font w:name="Calibri">
    <w:panose1 w:val="020F0502020204030204"/>
    <w:charset w:val="00"/>
    <w:family w:val="swiss"/>
    <w:pitch w:val="variable"/>
    <w:sig w:usb0="E4002EFF" w:usb1="C000247B" w:usb2="00000009" w:usb3="00000000" w:csb0="000001FF" w:csb1="00000000"/>
    <w:embedRegular r:id="rId14" w:fontKey="{3857A738-F057-404A-95D5-8D8154D2228A}"/>
  </w:font>
  <w:font w:name="Arial MT">
    <w:altName w:val="Arial"/>
    <w:panose1 w:val="020B0604020202020204"/>
    <w:charset w:val="00"/>
    <w:family w:val="roman"/>
    <w:notTrueType/>
    <w:pitch w:val="default"/>
  </w:font>
  <w:font w:name="Arial Narrow">
    <w:panose1 w:val="020B0606020202030204"/>
    <w:charset w:val="00"/>
    <w:family w:val="swiss"/>
    <w:pitch w:val="variable"/>
    <w:sig w:usb0="00000287" w:usb1="00000800" w:usb2="00000000" w:usb3="00000000" w:csb0="0000009F" w:csb1="00000000"/>
    <w:embedRegular r:id="rId16" w:fontKey="{85CAA216-B75D-CA46-8621-1C94B43E24E3}"/>
    <w:embedBold r:id="rId17" w:fontKey="{689CDCFF-746A-6E4B-ABBB-99559A65469B}"/>
    <w:embedItalic r:id="rId18" w:fontKey="{D7D185B4-A1AB-0B4A-AE45-AE4E8B9604A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05F09E" w14:textId="77777777" w:rsidR="00546D1F" w:rsidRDefault="00546D1F">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74C81" w14:textId="77777777" w:rsidR="00546D1F" w:rsidRDefault="00000000">
    <w:pPr>
      <w:pBdr>
        <w:top w:val="nil"/>
        <w:left w:val="nil"/>
        <w:bottom w:val="nil"/>
        <w:right w:val="nil"/>
        <w:between w:val="nil"/>
      </w:pBdr>
      <w:tabs>
        <w:tab w:val="center" w:pos="4419"/>
        <w:tab w:val="right" w:pos="8838"/>
      </w:tabs>
      <w:spacing w:after="0" w:line="240" w:lineRule="auto"/>
      <w:jc w:val="right"/>
      <w:rPr>
        <w:color w:val="000000"/>
      </w:rPr>
    </w:pPr>
    <w:r>
      <w:rPr>
        <w:color w:val="000000"/>
      </w:rPr>
      <w:t xml:space="preserve">Página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A7633C">
      <w:rPr>
        <w:b/>
        <w:noProof/>
        <w:color w:val="000000"/>
        <w:sz w:val="24"/>
        <w:szCs w:val="24"/>
      </w:rPr>
      <w:t>1</w:t>
    </w:r>
    <w:r>
      <w:rPr>
        <w:b/>
        <w:color w:val="000000"/>
        <w:sz w:val="24"/>
        <w:szCs w:val="24"/>
      </w:rPr>
      <w:fldChar w:fldCharType="end"/>
    </w:r>
    <w:r>
      <w:rPr>
        <w:color w:val="000000"/>
      </w:rPr>
      <w:t xml:space="preserve"> de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A7633C">
      <w:rPr>
        <w:b/>
        <w:noProof/>
        <w:color w:val="000000"/>
        <w:sz w:val="24"/>
        <w:szCs w:val="24"/>
      </w:rPr>
      <w:t>2</w:t>
    </w:r>
    <w:r>
      <w:rPr>
        <w:b/>
        <w:color w:val="000000"/>
        <w:sz w:val="24"/>
        <w:szCs w:val="24"/>
      </w:rPr>
      <w:fldChar w:fldCharType="end"/>
    </w:r>
  </w:p>
  <w:p w14:paraId="6B9EF02A" w14:textId="77777777" w:rsidR="00546D1F" w:rsidRDefault="00546D1F">
    <w:pPr>
      <w:pBdr>
        <w:top w:val="nil"/>
        <w:left w:val="nil"/>
        <w:bottom w:val="nil"/>
        <w:right w:val="nil"/>
        <w:between w:val="nil"/>
      </w:pBdr>
      <w:tabs>
        <w:tab w:val="center" w:pos="4419"/>
        <w:tab w:val="right" w:pos="8838"/>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BD963E" w14:textId="77777777" w:rsidR="00546D1F" w:rsidRDefault="00546D1F">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16A61B" w14:textId="77777777" w:rsidR="00FC3094" w:rsidRDefault="00FC3094">
      <w:pPr>
        <w:spacing w:after="0" w:line="240" w:lineRule="auto"/>
      </w:pPr>
      <w:r>
        <w:separator/>
      </w:r>
    </w:p>
  </w:footnote>
  <w:footnote w:type="continuationSeparator" w:id="0">
    <w:p w14:paraId="4440380E" w14:textId="77777777" w:rsidR="00FC3094" w:rsidRDefault="00FC30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8758C" w14:textId="77777777" w:rsidR="00546D1F" w:rsidRDefault="00546D1F">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D5708" w14:textId="77777777" w:rsidR="00546D1F" w:rsidRDefault="00546D1F">
    <w:pPr>
      <w:widowControl w:val="0"/>
      <w:pBdr>
        <w:top w:val="nil"/>
        <w:left w:val="nil"/>
        <w:bottom w:val="nil"/>
        <w:right w:val="nil"/>
        <w:between w:val="nil"/>
      </w:pBdr>
      <w:spacing w:after="0" w:line="276" w:lineRule="auto"/>
      <w:rPr>
        <w:color w:val="000000"/>
      </w:rPr>
    </w:pPr>
  </w:p>
  <w:tbl>
    <w:tblPr>
      <w:tblStyle w:val="a3"/>
      <w:tblW w:w="9697"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4293"/>
      <w:gridCol w:w="3275"/>
      <w:gridCol w:w="2129"/>
    </w:tblGrid>
    <w:tr w:rsidR="00546D1F" w14:paraId="4FA68F63" w14:textId="77777777">
      <w:trPr>
        <w:cantSplit/>
        <w:trHeight w:val="490"/>
        <w:jc w:val="center"/>
      </w:trPr>
      <w:tc>
        <w:tcPr>
          <w:tcW w:w="4293" w:type="dxa"/>
          <w:vMerge w:val="restart"/>
          <w:shd w:val="clear" w:color="auto" w:fill="auto"/>
          <w:vAlign w:val="center"/>
        </w:tcPr>
        <w:p w14:paraId="5AE09011" w14:textId="77777777" w:rsidR="00546D1F" w:rsidRDefault="00000000">
          <w:pPr>
            <w:widowControl/>
            <w:pBdr>
              <w:top w:val="nil"/>
              <w:left w:val="nil"/>
              <w:bottom w:val="nil"/>
              <w:right w:val="nil"/>
              <w:between w:val="nil"/>
            </w:pBdr>
            <w:tabs>
              <w:tab w:val="center" w:pos="4419"/>
              <w:tab w:val="right" w:pos="8838"/>
            </w:tabs>
            <w:ind w:right="360"/>
            <w:jc w:val="center"/>
            <w:rPr>
              <w:rFonts w:ascii="Arial" w:eastAsia="Arial" w:hAnsi="Arial" w:cs="Arial"/>
              <w:color w:val="000000"/>
            </w:rPr>
          </w:pPr>
          <w:r>
            <w:rPr>
              <w:noProof/>
            </w:rPr>
            <w:drawing>
              <wp:anchor distT="0" distB="0" distL="114300" distR="114300" simplePos="0" relativeHeight="251658240" behindDoc="0" locked="0" layoutInCell="1" hidden="0" allowOverlap="1" wp14:anchorId="3A9D1AC9" wp14:editId="38195F9F">
                <wp:simplePos x="0" y="0"/>
                <wp:positionH relativeFrom="column">
                  <wp:posOffset>-32384</wp:posOffset>
                </wp:positionH>
                <wp:positionV relativeFrom="paragraph">
                  <wp:posOffset>-354329</wp:posOffset>
                </wp:positionV>
                <wp:extent cx="2582545" cy="723900"/>
                <wp:effectExtent l="0" t="0" r="0" b="0"/>
                <wp:wrapNone/>
                <wp:docPr id="2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582545" cy="723900"/>
                        </a:xfrm>
                        <a:prstGeom prst="rect">
                          <a:avLst/>
                        </a:prstGeom>
                        <a:ln/>
                      </pic:spPr>
                    </pic:pic>
                  </a:graphicData>
                </a:graphic>
              </wp:anchor>
            </w:drawing>
          </w:r>
        </w:p>
      </w:tc>
      <w:tc>
        <w:tcPr>
          <w:tcW w:w="5404" w:type="dxa"/>
          <w:gridSpan w:val="2"/>
          <w:shd w:val="clear" w:color="auto" w:fill="auto"/>
          <w:vAlign w:val="center"/>
        </w:tcPr>
        <w:p w14:paraId="7403C4EC" w14:textId="77777777" w:rsidR="00546D1F" w:rsidRDefault="00000000">
          <w:pPr>
            <w:widowControl/>
            <w:pBdr>
              <w:top w:val="nil"/>
              <w:left w:val="nil"/>
              <w:bottom w:val="nil"/>
              <w:right w:val="nil"/>
              <w:between w:val="nil"/>
            </w:pBdr>
            <w:tabs>
              <w:tab w:val="center" w:pos="4419"/>
              <w:tab w:val="right" w:pos="8838"/>
              <w:tab w:val="left" w:pos="1275"/>
            </w:tabs>
            <w:ind w:left="420"/>
            <w:jc w:val="center"/>
            <w:rPr>
              <w:rFonts w:ascii="Arial" w:eastAsia="Arial" w:hAnsi="Arial" w:cs="Arial"/>
              <w:b/>
              <w:color w:val="000000"/>
            </w:rPr>
          </w:pPr>
          <w:r>
            <w:rPr>
              <w:rFonts w:ascii="Arial" w:eastAsia="Arial" w:hAnsi="Arial" w:cs="Arial"/>
              <w:b/>
              <w:color w:val="000000"/>
            </w:rPr>
            <w:t>GESTIÓN CONTRACTUAL</w:t>
          </w:r>
        </w:p>
      </w:tc>
    </w:tr>
    <w:tr w:rsidR="00546D1F" w14:paraId="0D65584A" w14:textId="77777777">
      <w:trPr>
        <w:cantSplit/>
        <w:trHeight w:val="751"/>
        <w:jc w:val="center"/>
      </w:trPr>
      <w:tc>
        <w:tcPr>
          <w:tcW w:w="4293" w:type="dxa"/>
          <w:vMerge/>
          <w:shd w:val="clear" w:color="auto" w:fill="auto"/>
          <w:vAlign w:val="center"/>
        </w:tcPr>
        <w:p w14:paraId="43D7BA55" w14:textId="77777777" w:rsidR="00546D1F" w:rsidRDefault="00546D1F">
          <w:pPr>
            <w:pBdr>
              <w:top w:val="nil"/>
              <w:left w:val="nil"/>
              <w:bottom w:val="nil"/>
              <w:right w:val="nil"/>
              <w:between w:val="nil"/>
            </w:pBdr>
            <w:spacing w:line="276" w:lineRule="auto"/>
            <w:rPr>
              <w:rFonts w:ascii="Arial" w:eastAsia="Arial" w:hAnsi="Arial" w:cs="Arial"/>
              <w:b/>
              <w:color w:val="000000"/>
            </w:rPr>
          </w:pPr>
        </w:p>
      </w:tc>
      <w:tc>
        <w:tcPr>
          <w:tcW w:w="5404" w:type="dxa"/>
          <w:gridSpan w:val="2"/>
          <w:shd w:val="clear" w:color="auto" w:fill="auto"/>
          <w:vAlign w:val="center"/>
        </w:tcPr>
        <w:p w14:paraId="461421E6" w14:textId="77777777" w:rsidR="00546D1F" w:rsidRPr="00A7633C" w:rsidRDefault="00000000">
          <w:pPr>
            <w:jc w:val="center"/>
            <w:rPr>
              <w:rFonts w:ascii="Arial" w:eastAsia="Arial" w:hAnsi="Arial" w:cs="Arial"/>
              <w:b/>
              <w:lang w:val="es-CO"/>
            </w:rPr>
          </w:pPr>
          <w:bookmarkStart w:id="2" w:name="_heading=h.1fob9te" w:colFirst="0" w:colLast="0"/>
          <w:bookmarkEnd w:id="2"/>
          <w:r w:rsidRPr="00A7633C">
            <w:rPr>
              <w:rFonts w:ascii="Arial" w:eastAsia="Arial" w:hAnsi="Arial" w:cs="Arial"/>
              <w:b/>
              <w:lang w:val="es-CO"/>
            </w:rPr>
            <w:t>Estudios previos contratación directa prestación de servicios profesionales y de apoyo a la gestión</w:t>
          </w:r>
        </w:p>
      </w:tc>
    </w:tr>
    <w:tr w:rsidR="00546D1F" w14:paraId="34A2FEDD" w14:textId="77777777">
      <w:trPr>
        <w:cantSplit/>
        <w:trHeight w:val="658"/>
        <w:jc w:val="center"/>
      </w:trPr>
      <w:tc>
        <w:tcPr>
          <w:tcW w:w="4293" w:type="dxa"/>
          <w:vMerge/>
          <w:shd w:val="clear" w:color="auto" w:fill="auto"/>
          <w:vAlign w:val="center"/>
        </w:tcPr>
        <w:p w14:paraId="03F8B94C" w14:textId="77777777" w:rsidR="00546D1F" w:rsidRPr="00A7633C" w:rsidRDefault="00546D1F">
          <w:pPr>
            <w:pBdr>
              <w:top w:val="nil"/>
              <w:left w:val="nil"/>
              <w:bottom w:val="nil"/>
              <w:right w:val="nil"/>
              <w:between w:val="nil"/>
            </w:pBdr>
            <w:spacing w:line="276" w:lineRule="auto"/>
            <w:rPr>
              <w:rFonts w:ascii="Arial" w:eastAsia="Arial" w:hAnsi="Arial" w:cs="Arial"/>
              <w:b/>
              <w:lang w:val="es-CO"/>
            </w:rPr>
          </w:pPr>
        </w:p>
      </w:tc>
      <w:tc>
        <w:tcPr>
          <w:tcW w:w="3275" w:type="dxa"/>
          <w:shd w:val="clear" w:color="auto" w:fill="auto"/>
          <w:vAlign w:val="center"/>
        </w:tcPr>
        <w:p w14:paraId="77E944BD" w14:textId="77777777" w:rsidR="00546D1F" w:rsidRDefault="00000000">
          <w:pPr>
            <w:rPr>
              <w:rFonts w:ascii="Arial" w:eastAsia="Arial" w:hAnsi="Arial" w:cs="Arial"/>
            </w:rPr>
          </w:pPr>
          <w:bookmarkStart w:id="3" w:name="_heading=h.3znysh7" w:colFirst="0" w:colLast="0"/>
          <w:bookmarkEnd w:id="3"/>
          <w:r>
            <w:rPr>
              <w:rFonts w:ascii="Arial" w:eastAsia="Arial" w:hAnsi="Arial" w:cs="Arial"/>
              <w:color w:val="000000"/>
            </w:rPr>
            <w:t>Código: PA08-PR11-M1</w:t>
          </w:r>
        </w:p>
      </w:tc>
      <w:tc>
        <w:tcPr>
          <w:tcW w:w="2129" w:type="dxa"/>
          <w:shd w:val="clear" w:color="auto" w:fill="auto"/>
          <w:vAlign w:val="center"/>
        </w:tcPr>
        <w:p w14:paraId="4AFF0656" w14:textId="77777777" w:rsidR="00546D1F" w:rsidRDefault="00000000">
          <w:pPr>
            <w:rPr>
              <w:rFonts w:ascii="Arial" w:eastAsia="Arial" w:hAnsi="Arial" w:cs="Arial"/>
            </w:rPr>
          </w:pPr>
          <w:proofErr w:type="spellStart"/>
          <w:r>
            <w:rPr>
              <w:rFonts w:ascii="Arial" w:eastAsia="Arial" w:hAnsi="Arial" w:cs="Arial"/>
            </w:rPr>
            <w:t>Versión</w:t>
          </w:r>
          <w:proofErr w:type="spellEnd"/>
          <w:r>
            <w:rPr>
              <w:rFonts w:ascii="Arial" w:eastAsia="Arial" w:hAnsi="Arial" w:cs="Arial"/>
            </w:rPr>
            <w:t>: 1</w:t>
          </w:r>
        </w:p>
      </w:tc>
    </w:tr>
  </w:tbl>
  <w:p w14:paraId="6C183428" w14:textId="77777777" w:rsidR="00546D1F" w:rsidRDefault="00546D1F">
    <w:pPr>
      <w:pBdr>
        <w:top w:val="nil"/>
        <w:left w:val="nil"/>
        <w:bottom w:val="nil"/>
        <w:right w:val="nil"/>
        <w:between w:val="nil"/>
      </w:pBdr>
      <w:tabs>
        <w:tab w:val="center" w:pos="4419"/>
        <w:tab w:val="right" w:pos="8838"/>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E497B" w14:textId="77777777" w:rsidR="00546D1F" w:rsidRDefault="00546D1F">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2245C0"/>
    <w:multiLevelType w:val="multilevel"/>
    <w:tmpl w:val="52B2E8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1EB0C90"/>
    <w:multiLevelType w:val="multilevel"/>
    <w:tmpl w:val="2C202A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62FE6D72"/>
    <w:multiLevelType w:val="multilevel"/>
    <w:tmpl w:val="1278EF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F5B34AA"/>
    <w:multiLevelType w:val="multilevel"/>
    <w:tmpl w:val="12280B14"/>
    <w:lvl w:ilvl="0">
      <w:start w:val="1"/>
      <w:numFmt w:val="decimal"/>
      <w:lvlText w:val="%1."/>
      <w:lvlJc w:val="left"/>
      <w:pPr>
        <w:ind w:left="720" w:hanging="360"/>
      </w:pPr>
      <w:rPr>
        <w:b/>
        <w:color w:val="000000"/>
      </w:rPr>
    </w:lvl>
    <w:lvl w:ilvl="1">
      <w:start w:val="1"/>
      <w:numFmt w:val="decimal"/>
      <w:lvlText w:val="%1.%2."/>
      <w:lvlJc w:val="left"/>
      <w:pPr>
        <w:ind w:left="1080" w:hanging="720"/>
      </w:pPr>
      <w:rPr>
        <w:b/>
        <w:i w:val="0"/>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num w:numId="1" w16cid:durableId="998653649">
    <w:abstractNumId w:val="3"/>
  </w:num>
  <w:num w:numId="2" w16cid:durableId="206576797">
    <w:abstractNumId w:val="1"/>
  </w:num>
  <w:num w:numId="3" w16cid:durableId="344943181">
    <w:abstractNumId w:val="2"/>
  </w:num>
  <w:num w:numId="4" w16cid:durableId="18764274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6D1F"/>
    <w:rsid w:val="0020166D"/>
    <w:rsid w:val="003D2913"/>
    <w:rsid w:val="00546D1F"/>
    <w:rsid w:val="00A7633C"/>
    <w:rsid w:val="00C66E97"/>
    <w:rsid w:val="00FB43D9"/>
    <w:rsid w:val="00FC309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08FA3EB7"/>
  <w15:docId w15:val="{2AC17AD7-7429-5948-97A0-6A76E2420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7009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B7009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B7009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7009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7009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7009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7009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7009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7009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B7009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B7009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B7009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B7009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B7009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B7009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B7009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7009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7009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70091"/>
    <w:rPr>
      <w:rFonts w:eastAsiaTheme="majorEastAsia" w:cstheme="majorBidi"/>
      <w:color w:val="272727" w:themeColor="text1" w:themeTint="D8"/>
    </w:rPr>
  </w:style>
  <w:style w:type="character" w:customStyle="1" w:styleId="TtuloCar">
    <w:name w:val="Título Car"/>
    <w:basedOn w:val="Fuentedeprrafopredeter"/>
    <w:link w:val="Ttulo"/>
    <w:uiPriority w:val="10"/>
    <w:rsid w:val="00B7009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B7009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70091"/>
    <w:pPr>
      <w:spacing w:before="160"/>
      <w:jc w:val="center"/>
    </w:pPr>
    <w:rPr>
      <w:i/>
      <w:iCs/>
      <w:color w:val="404040" w:themeColor="text1" w:themeTint="BF"/>
    </w:rPr>
  </w:style>
  <w:style w:type="character" w:customStyle="1" w:styleId="CitaCar">
    <w:name w:val="Cita Car"/>
    <w:basedOn w:val="Fuentedeprrafopredeter"/>
    <w:link w:val="Cita"/>
    <w:uiPriority w:val="29"/>
    <w:rsid w:val="00B70091"/>
    <w:rPr>
      <w:i/>
      <w:iCs/>
      <w:color w:val="404040" w:themeColor="text1" w:themeTint="BF"/>
    </w:rPr>
  </w:style>
  <w:style w:type="paragraph" w:styleId="Prrafodelista">
    <w:name w:val="List Paragraph"/>
    <w:basedOn w:val="Normal"/>
    <w:uiPriority w:val="34"/>
    <w:qFormat/>
    <w:rsid w:val="00B70091"/>
    <w:pPr>
      <w:ind w:left="720"/>
      <w:contextualSpacing/>
    </w:pPr>
  </w:style>
  <w:style w:type="character" w:styleId="nfasisintenso">
    <w:name w:val="Intense Emphasis"/>
    <w:basedOn w:val="Fuentedeprrafopredeter"/>
    <w:uiPriority w:val="21"/>
    <w:qFormat/>
    <w:rsid w:val="00B70091"/>
    <w:rPr>
      <w:i/>
      <w:iCs/>
      <w:color w:val="0F4761" w:themeColor="accent1" w:themeShade="BF"/>
    </w:rPr>
  </w:style>
  <w:style w:type="paragraph" w:styleId="Citadestacada">
    <w:name w:val="Intense Quote"/>
    <w:basedOn w:val="Normal"/>
    <w:next w:val="Normal"/>
    <w:link w:val="CitadestacadaCar"/>
    <w:uiPriority w:val="30"/>
    <w:qFormat/>
    <w:rsid w:val="00B7009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B70091"/>
    <w:rPr>
      <w:i/>
      <w:iCs/>
      <w:color w:val="0F4761" w:themeColor="accent1" w:themeShade="BF"/>
    </w:rPr>
  </w:style>
  <w:style w:type="character" w:styleId="Referenciaintensa">
    <w:name w:val="Intense Reference"/>
    <w:basedOn w:val="Fuentedeprrafopredeter"/>
    <w:uiPriority w:val="32"/>
    <w:qFormat/>
    <w:rsid w:val="00B70091"/>
    <w:rPr>
      <w:b/>
      <w:bCs/>
      <w:smallCaps/>
      <w:color w:val="0F4761" w:themeColor="accent1" w:themeShade="BF"/>
      <w:spacing w:val="5"/>
    </w:rPr>
  </w:style>
  <w:style w:type="table" w:styleId="Tablaconcuadrcula">
    <w:name w:val="Table Grid"/>
    <w:basedOn w:val="Tablanormal"/>
    <w:uiPriority w:val="39"/>
    <w:rsid w:val="00B70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70091"/>
    <w:pPr>
      <w:autoSpaceDE w:val="0"/>
      <w:autoSpaceDN w:val="0"/>
      <w:adjustRightInd w:val="0"/>
      <w:spacing w:after="0" w:line="240" w:lineRule="auto"/>
    </w:pPr>
    <w:rPr>
      <w:rFonts w:ascii="Arial" w:hAnsi="Arial" w:cs="Arial"/>
      <w:color w:val="000000"/>
      <w:sz w:val="24"/>
      <w:szCs w:val="24"/>
    </w:rPr>
  </w:style>
  <w:style w:type="character" w:styleId="Refdecomentario">
    <w:name w:val="annotation reference"/>
    <w:basedOn w:val="Fuentedeprrafopredeter"/>
    <w:uiPriority w:val="99"/>
    <w:semiHidden/>
    <w:unhideWhenUsed/>
    <w:rsid w:val="002D527C"/>
    <w:rPr>
      <w:sz w:val="16"/>
      <w:szCs w:val="16"/>
    </w:rPr>
  </w:style>
  <w:style w:type="paragraph" w:styleId="Textocomentario">
    <w:name w:val="annotation text"/>
    <w:basedOn w:val="Normal"/>
    <w:link w:val="TextocomentarioCar"/>
    <w:uiPriority w:val="99"/>
    <w:unhideWhenUsed/>
    <w:rsid w:val="002D527C"/>
    <w:pPr>
      <w:spacing w:after="200" w:line="240" w:lineRule="auto"/>
    </w:pPr>
    <w:rPr>
      <w:rFonts w:ascii="Calibri" w:eastAsia="Times New Roman" w:hAnsi="Calibri" w:cs="Times New Roman"/>
      <w:sz w:val="20"/>
      <w:szCs w:val="20"/>
      <w:lang w:eastAsia="es-CO"/>
    </w:rPr>
  </w:style>
  <w:style w:type="character" w:customStyle="1" w:styleId="TextocomentarioCar">
    <w:name w:val="Texto comentario Car"/>
    <w:basedOn w:val="Fuentedeprrafopredeter"/>
    <w:link w:val="Textocomentario"/>
    <w:uiPriority w:val="99"/>
    <w:rsid w:val="002D527C"/>
    <w:rPr>
      <w:rFonts w:ascii="Calibri" w:eastAsia="Times New Roman" w:hAnsi="Calibri" w:cs="Times New Roman"/>
      <w:kern w:val="0"/>
      <w:sz w:val="20"/>
      <w:szCs w:val="20"/>
      <w:lang w:eastAsia="es-CO"/>
    </w:rPr>
  </w:style>
  <w:style w:type="paragraph" w:styleId="Sinespaciado">
    <w:name w:val="No Spacing"/>
    <w:uiPriority w:val="1"/>
    <w:qFormat/>
    <w:rsid w:val="00181704"/>
    <w:pPr>
      <w:spacing w:after="0" w:line="240" w:lineRule="auto"/>
    </w:pPr>
    <w:rPr>
      <w:rFonts w:ascii="Calibri" w:eastAsia="Times New Roman" w:hAnsi="Calibri" w:cs="Times New Roman"/>
      <w:lang w:eastAsia="es-CO"/>
    </w:rPr>
  </w:style>
  <w:style w:type="paragraph" w:styleId="Encabezado">
    <w:name w:val="header"/>
    <w:aliases w:val="Header Bold,h,TENDER,*Header,*Header1,*Header2,*Header3"/>
    <w:basedOn w:val="Normal"/>
    <w:link w:val="EncabezadoCar"/>
    <w:unhideWhenUsed/>
    <w:rsid w:val="00794390"/>
    <w:pPr>
      <w:tabs>
        <w:tab w:val="center" w:pos="4419"/>
        <w:tab w:val="right" w:pos="8838"/>
      </w:tabs>
      <w:spacing w:after="0" w:line="240" w:lineRule="auto"/>
    </w:pPr>
  </w:style>
  <w:style w:type="character" w:customStyle="1" w:styleId="EncabezadoCar">
    <w:name w:val="Encabezado Car"/>
    <w:aliases w:val="Header Bold Car,h Car,TENDER Car,*Header Car,*Header1 Car,*Header2 Car,*Header3 Car"/>
    <w:basedOn w:val="Fuentedeprrafopredeter"/>
    <w:link w:val="Encabezado"/>
    <w:rsid w:val="00794390"/>
  </w:style>
  <w:style w:type="paragraph" w:styleId="Piedepgina">
    <w:name w:val="footer"/>
    <w:basedOn w:val="Normal"/>
    <w:link w:val="PiedepginaCar"/>
    <w:uiPriority w:val="99"/>
    <w:unhideWhenUsed/>
    <w:rsid w:val="0079439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94390"/>
  </w:style>
  <w:style w:type="paragraph" w:customStyle="1" w:styleId="TableParagraph">
    <w:name w:val="Table Paragraph"/>
    <w:basedOn w:val="Normal"/>
    <w:uiPriority w:val="1"/>
    <w:qFormat/>
    <w:rsid w:val="00BD077D"/>
    <w:pPr>
      <w:widowControl w:val="0"/>
      <w:autoSpaceDE w:val="0"/>
      <w:autoSpaceDN w:val="0"/>
      <w:spacing w:after="0" w:line="240" w:lineRule="auto"/>
    </w:pPr>
    <w:rPr>
      <w:rFonts w:ascii="Arial MT" w:eastAsia="Arial MT" w:hAnsi="Arial MT" w:cs="Arial MT"/>
      <w:lang w:val="es-ES"/>
    </w:rPr>
  </w:style>
  <w:style w:type="table" w:customStyle="1" w:styleId="TableNormal0">
    <w:name w:val="Table Normal"/>
    <w:uiPriority w:val="2"/>
    <w:semiHidden/>
    <w:unhideWhenUsed/>
    <w:qFormat/>
    <w:rsid w:val="0094765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94765F"/>
    <w:pPr>
      <w:widowControl w:val="0"/>
      <w:autoSpaceDE w:val="0"/>
      <w:autoSpaceDN w:val="0"/>
      <w:spacing w:after="0" w:line="240" w:lineRule="auto"/>
    </w:pPr>
    <w:rPr>
      <w:rFonts w:ascii="Arial" w:eastAsia="Arial" w:hAnsi="Arial" w:cs="Arial"/>
      <w:b/>
      <w:bCs/>
      <w:sz w:val="16"/>
      <w:szCs w:val="16"/>
      <w:lang w:val="es-ES"/>
    </w:rPr>
  </w:style>
  <w:style w:type="character" w:customStyle="1" w:styleId="TextoindependienteCar">
    <w:name w:val="Texto independiente Car"/>
    <w:basedOn w:val="Fuentedeprrafopredeter"/>
    <w:link w:val="Textoindependiente"/>
    <w:uiPriority w:val="1"/>
    <w:rsid w:val="0094765F"/>
    <w:rPr>
      <w:rFonts w:ascii="Arial" w:eastAsia="Arial" w:hAnsi="Arial" w:cs="Arial"/>
      <w:b/>
      <w:bCs/>
      <w:kern w:val="0"/>
      <w:sz w:val="16"/>
      <w:szCs w:val="16"/>
      <w:lang w:val="es-ES"/>
    </w:rPr>
  </w:style>
  <w:style w:type="paragraph" w:styleId="Sangradetextonormal">
    <w:name w:val="Body Text Indent"/>
    <w:basedOn w:val="Normal"/>
    <w:link w:val="SangradetextonormalCar"/>
    <w:uiPriority w:val="99"/>
    <w:semiHidden/>
    <w:unhideWhenUsed/>
    <w:rsid w:val="00831DE4"/>
    <w:pPr>
      <w:spacing w:after="120"/>
      <w:ind w:left="283"/>
    </w:pPr>
  </w:style>
  <w:style w:type="character" w:customStyle="1" w:styleId="SangradetextonormalCar">
    <w:name w:val="Sangría de texto normal Car"/>
    <w:basedOn w:val="Fuentedeprrafopredeter"/>
    <w:link w:val="Sangradetextonormal"/>
    <w:rsid w:val="00831DE4"/>
  </w:style>
  <w:style w:type="paragraph" w:styleId="NormalWeb">
    <w:name w:val="Normal (Web)"/>
    <w:basedOn w:val="Normal"/>
    <w:uiPriority w:val="99"/>
    <w:semiHidden/>
    <w:unhideWhenUsed/>
    <w:rsid w:val="00024EC7"/>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Textoennegrita">
    <w:name w:val="Strong"/>
    <w:basedOn w:val="Fuentedeprrafopredeter"/>
    <w:uiPriority w:val="22"/>
    <w:qFormat/>
    <w:rsid w:val="00D2749B"/>
    <w:rPr>
      <w:b/>
      <w:bCs/>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4IMbiTlJzFO9Aq0opUAXoqDrbg==">CgMxLjAyCGguZ2pkZ3hzMgloLjMwajB6bGwyCWguMWZvYjl0ZTIJaC4zem55c2g3OAByITF0dURIOW5rU2g2OS1Hc3VZR3lDZUNyWWpLUzktVFJ6Xw==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15</Pages>
  <Words>6547</Words>
  <Characters>36012</Characters>
  <Application>Microsoft Office Word</Application>
  <DocSecurity>0</DocSecurity>
  <Lines>300</Lines>
  <Paragraphs>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DUARTE MAYORGA</dc:creator>
  <cp:lastModifiedBy>Juan Carlos Gomez Bautista</cp:lastModifiedBy>
  <cp:revision>3</cp:revision>
  <dcterms:created xsi:type="dcterms:W3CDTF">2025-01-29T19:38:00Z</dcterms:created>
  <dcterms:modified xsi:type="dcterms:W3CDTF">2025-01-30T15:48:00Z</dcterms:modified>
</cp:coreProperties>
</file>